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D" w:rsidRDefault="0018528D" w:rsidP="00E82258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  <w:r w:rsidR="00BA1FBD">
        <w:rPr>
          <w:b/>
          <w:sz w:val="32"/>
          <w:szCs w:val="32"/>
        </w:rPr>
        <w:t xml:space="preserve"> </w:t>
      </w:r>
      <w:r w:rsidR="00517C7A">
        <w:rPr>
          <w:b/>
          <w:sz w:val="32"/>
          <w:szCs w:val="32"/>
        </w:rPr>
        <w:t>for</w:t>
      </w:r>
      <w:r w:rsidR="00BA1FBD">
        <w:rPr>
          <w:b/>
          <w:sz w:val="32"/>
          <w:szCs w:val="32"/>
        </w:rPr>
        <w:t xml:space="preserve"> the Course Outline</w:t>
      </w:r>
      <w:r w:rsidR="00831616">
        <w:rPr>
          <w:b/>
          <w:sz w:val="32"/>
          <w:szCs w:val="32"/>
        </w:rPr>
        <w:tab/>
      </w:r>
      <w:r w:rsidR="00831616">
        <w:rPr>
          <w:b/>
          <w:sz w:val="32"/>
          <w:szCs w:val="32"/>
        </w:rPr>
        <w:tab/>
      </w:r>
      <w:r w:rsidR="00831616">
        <w:rPr>
          <w:b/>
          <w:sz w:val="32"/>
          <w:szCs w:val="32"/>
        </w:rPr>
        <w:tab/>
      </w:r>
      <w:r w:rsidR="00831616">
        <w:rPr>
          <w:b/>
          <w:sz w:val="32"/>
          <w:szCs w:val="32"/>
        </w:rPr>
        <w:tab/>
        <w:t>March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1625" w:rsidRPr="00F426B0" w:rsidTr="00F426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82258" w:rsidRDefault="00E82258" w:rsidP="00E82258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F50E2F" w:rsidRPr="00945F4D" w:rsidRDefault="00F50E2F" w:rsidP="006D49D8">
      <w:pPr>
        <w:spacing w:after="0" w:line="240" w:lineRule="auto"/>
        <w:contextualSpacing/>
        <w:rPr>
          <w:rFonts w:cs="Calibri"/>
        </w:rPr>
      </w:pPr>
      <w:r w:rsidRPr="00945F4D">
        <w:rPr>
          <w:rFonts w:cs="Calibri"/>
        </w:rPr>
        <w:t>The course outline is the Master Record for a course.  It should be reviewed on an annual basis and submitted to Office Managers for upload to a central repository.  Changes to the course information in the catalog must be documented on this form</w:t>
      </w:r>
      <w:r w:rsidR="00D84BEA" w:rsidRPr="00945F4D">
        <w:rPr>
          <w:rFonts w:cs="Calibri"/>
        </w:rPr>
        <w:t>.  The following changes must be submitted to Curriculum Committee for review along with a course modification form:  new prefix, new name, new credit/contact number, or significant content change</w:t>
      </w:r>
      <w:r w:rsidRPr="00945F4D">
        <w:rPr>
          <w:rFonts w:cs="Calibri"/>
        </w:rPr>
        <w:t>.</w:t>
      </w:r>
      <w:r w:rsidR="0012166A" w:rsidRPr="00945F4D">
        <w:rPr>
          <w:rFonts w:cs="Calibri"/>
        </w:rPr>
        <w:t xml:space="preserve">  When the pdf template </w:t>
      </w:r>
      <w:r w:rsidR="002D2887">
        <w:rPr>
          <w:rFonts w:cs="Calibri"/>
        </w:rPr>
        <w:t>is complete save by selecting the</w:t>
      </w:r>
      <w:r w:rsidR="0012166A" w:rsidRPr="00945F4D">
        <w:rPr>
          <w:rFonts w:cs="Calibri"/>
        </w:rPr>
        <w:t xml:space="preserve"> </w:t>
      </w:r>
      <w:r w:rsidR="00582612">
        <w:rPr>
          <w:rFonts w:cs="Calibri"/>
        </w:rPr>
        <w:t>File&gt;Print option</w:t>
      </w:r>
      <w:r w:rsidR="002D2887">
        <w:rPr>
          <w:rFonts w:cs="Calibri"/>
        </w:rPr>
        <w:t xml:space="preserve"> and choosing </w:t>
      </w:r>
      <w:r w:rsidR="00FE54B6">
        <w:rPr>
          <w:rFonts w:cs="Calibri"/>
        </w:rPr>
        <w:t>Microsoft XPS Document Writer</w:t>
      </w:r>
      <w:r w:rsidR="002D2887">
        <w:rPr>
          <w:rFonts w:cs="Calibri"/>
        </w:rPr>
        <w:t xml:space="preserve"> as your printer</w:t>
      </w:r>
      <w:r w:rsidR="0012166A" w:rsidRPr="00945F4D">
        <w:rPr>
          <w:rFonts w:cs="Calibri"/>
        </w:rPr>
        <w:t xml:space="preserve"> (i.e., HNR 231, etc.).</w:t>
      </w:r>
      <w:r w:rsidR="002D2887">
        <w:rPr>
          <w:rFonts w:cs="Calibri"/>
        </w:rPr>
        <w:t xml:space="preserve"> See directions below</w:t>
      </w:r>
      <w:r w:rsidR="00582612">
        <w:rPr>
          <w:rFonts w:cs="Calibri"/>
        </w:rPr>
        <w:t>.</w:t>
      </w:r>
    </w:p>
    <w:p w:rsidR="00F50E2F" w:rsidRPr="00945F4D" w:rsidRDefault="00F50E2F" w:rsidP="006D49D8">
      <w:pPr>
        <w:spacing w:after="0" w:line="240" w:lineRule="auto"/>
        <w:contextualSpacing/>
        <w:rPr>
          <w:rFonts w:cs="Calibri"/>
        </w:rPr>
      </w:pPr>
    </w:p>
    <w:p w:rsidR="00BA1FBD" w:rsidRPr="00945F4D" w:rsidRDefault="00BA1FBD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 xml:space="preserve">Date Prepared:  </w:t>
      </w:r>
      <w:r w:rsidRPr="00945F4D">
        <w:rPr>
          <w:rFonts w:cs="Calibri"/>
          <w:i/>
        </w:rPr>
        <w:t>Select the date that the course outline was first created.</w:t>
      </w:r>
    </w:p>
    <w:p w:rsidR="00E82258" w:rsidRPr="00945F4D" w:rsidRDefault="00E82258" w:rsidP="006D49D8">
      <w:pPr>
        <w:spacing w:after="0" w:line="240" w:lineRule="auto"/>
        <w:contextualSpacing/>
        <w:rPr>
          <w:rFonts w:cs="Calibri"/>
          <w:b/>
        </w:rPr>
      </w:pPr>
    </w:p>
    <w:p w:rsidR="00BA1FBD" w:rsidRPr="00945F4D" w:rsidRDefault="00BA1FBD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Revision Date (as needed)</w:t>
      </w:r>
      <w:r w:rsidRPr="00945F4D">
        <w:rPr>
          <w:rFonts w:cs="Calibri"/>
        </w:rPr>
        <w:t xml:space="preserve">:  </w:t>
      </w:r>
      <w:r w:rsidRPr="00945F4D">
        <w:rPr>
          <w:rFonts w:cs="Calibri"/>
          <w:i/>
        </w:rPr>
        <w:t>Select the date on which revisions were made to the course outline.</w:t>
      </w:r>
    </w:p>
    <w:p w:rsidR="00E82258" w:rsidRPr="00945F4D" w:rsidRDefault="00E82258" w:rsidP="006D49D8">
      <w:pPr>
        <w:spacing w:after="0" w:line="240" w:lineRule="auto"/>
        <w:contextualSpacing/>
        <w:rPr>
          <w:rFonts w:cs="Calibri"/>
          <w:b/>
        </w:rPr>
      </w:pPr>
    </w:p>
    <w:p w:rsidR="00BA1FBD" w:rsidRPr="00945F4D" w:rsidRDefault="00BA1FBD" w:rsidP="006D49D8">
      <w:pPr>
        <w:spacing w:after="0" w:line="240" w:lineRule="auto"/>
        <w:contextualSpacing/>
        <w:rPr>
          <w:rFonts w:cs="Calibri"/>
          <w:b/>
        </w:rPr>
      </w:pPr>
      <w:r w:rsidRPr="00945F4D">
        <w:rPr>
          <w:rFonts w:cs="Calibri"/>
          <w:b/>
        </w:rPr>
        <w:t>Course Catalog Number:</w:t>
      </w:r>
      <w:r w:rsidR="00F50E2F" w:rsidRPr="00945F4D">
        <w:rPr>
          <w:rFonts w:cs="Calibri"/>
          <w:b/>
        </w:rPr>
        <w:t xml:space="preserve"> </w:t>
      </w:r>
      <w:r w:rsidR="00F50E2F" w:rsidRPr="00945F4D">
        <w:rPr>
          <w:rFonts w:cs="Calibri"/>
          <w:i/>
        </w:rPr>
        <w:t>A prefix and number for the course as appropriate</w:t>
      </w:r>
    </w:p>
    <w:p w:rsidR="00E82258" w:rsidRPr="00945F4D" w:rsidRDefault="00E82258" w:rsidP="006D49D8">
      <w:pPr>
        <w:spacing w:after="0" w:line="240" w:lineRule="auto"/>
        <w:contextualSpacing/>
        <w:rPr>
          <w:rFonts w:cs="Calibri"/>
          <w:b/>
        </w:rPr>
      </w:pPr>
    </w:p>
    <w:p w:rsidR="00BA1FBD" w:rsidRPr="00945F4D" w:rsidRDefault="00BA1FBD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Course Title:</w:t>
      </w:r>
      <w:r w:rsidRPr="00945F4D">
        <w:rPr>
          <w:rFonts w:cs="Calibri"/>
        </w:rPr>
        <w:t xml:space="preserve">  </w:t>
      </w:r>
      <w:r w:rsidRPr="00945F4D">
        <w:rPr>
          <w:rFonts w:cs="Calibri"/>
          <w:i/>
        </w:rPr>
        <w:t>What is the name of the course?  Please limit course title to 30 characters.</w:t>
      </w:r>
    </w:p>
    <w:p w:rsidR="00E82258" w:rsidRPr="00945F4D" w:rsidRDefault="00E82258" w:rsidP="006D49D8">
      <w:pPr>
        <w:spacing w:after="0" w:line="240" w:lineRule="auto"/>
        <w:contextualSpacing/>
        <w:rPr>
          <w:rFonts w:cs="Calibri"/>
          <w:b/>
        </w:rPr>
      </w:pPr>
    </w:p>
    <w:p w:rsidR="00BA1FBD" w:rsidRPr="00945F4D" w:rsidRDefault="00BA1FBD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Catalog Description:</w:t>
      </w:r>
      <w:r w:rsidRPr="00945F4D">
        <w:rPr>
          <w:rFonts w:cs="Calibri"/>
        </w:rPr>
        <w:t xml:space="preserve">  </w:t>
      </w:r>
      <w:r w:rsidRPr="00945F4D">
        <w:rPr>
          <w:rFonts w:cs="Calibri"/>
          <w:i/>
        </w:rPr>
        <w:t>Please de</w:t>
      </w:r>
      <w:r w:rsidR="00D84BEA" w:rsidRPr="00945F4D">
        <w:rPr>
          <w:rFonts w:cs="Calibri"/>
          <w:i/>
        </w:rPr>
        <w:t>scribe the course in six or fewer</w:t>
      </w:r>
      <w:r w:rsidRPr="00945F4D">
        <w:rPr>
          <w:rFonts w:cs="Calibri"/>
          <w:i/>
        </w:rPr>
        <w:t xml:space="preserve"> lines for students to view in the catalog.  This description should be the same as the catalog description in the course proposal.</w:t>
      </w:r>
    </w:p>
    <w:p w:rsidR="00E82258" w:rsidRPr="00945F4D" w:rsidRDefault="00E82258" w:rsidP="006D49D8">
      <w:pPr>
        <w:spacing w:after="0" w:line="240" w:lineRule="auto"/>
        <w:contextualSpacing/>
        <w:rPr>
          <w:rFonts w:cs="Calibri"/>
          <w:b/>
        </w:rPr>
      </w:pPr>
    </w:p>
    <w:p w:rsidR="00BA1FBD" w:rsidRPr="00945F4D" w:rsidRDefault="00C9360F" w:rsidP="006D49D8">
      <w:pPr>
        <w:spacing w:after="0" w:line="240" w:lineRule="auto"/>
        <w:contextualSpacing/>
        <w:rPr>
          <w:rFonts w:cs="Calibri"/>
          <w:b/>
        </w:rPr>
      </w:pPr>
      <w:r w:rsidRPr="00945F4D">
        <w:rPr>
          <w:rFonts w:cs="Calibri"/>
          <w:b/>
        </w:rPr>
        <w:t>Credit Hours:</w:t>
      </w:r>
      <w:r w:rsidR="00F50E2F" w:rsidRPr="00945F4D">
        <w:rPr>
          <w:rFonts w:cs="Calibri"/>
          <w:b/>
        </w:rPr>
        <w:t xml:space="preserve">  </w:t>
      </w:r>
      <w:r w:rsidR="00D84BEA" w:rsidRPr="00945F4D">
        <w:rPr>
          <w:rFonts w:cs="Calibri"/>
          <w:i/>
        </w:rPr>
        <w:t>A</w:t>
      </w:r>
      <w:r w:rsidR="00F50E2F" w:rsidRPr="00945F4D">
        <w:rPr>
          <w:rFonts w:cs="Calibri"/>
          <w:i/>
        </w:rPr>
        <w:t> unit of academic credit</w:t>
      </w:r>
      <w:r w:rsidR="00D84BEA" w:rsidRPr="00945F4D">
        <w:rPr>
          <w:rFonts w:cs="Calibri"/>
          <w:i/>
        </w:rPr>
        <w:t xml:space="preserve"> equivalent to </w:t>
      </w:r>
      <w:r w:rsidR="00F50E2F" w:rsidRPr="00945F4D">
        <w:rPr>
          <w:rFonts w:cs="Calibri"/>
          <w:i/>
        </w:rPr>
        <w:t>one hour </w:t>
      </w:r>
      <w:r w:rsidR="00D84BEA" w:rsidRPr="00945F4D">
        <w:rPr>
          <w:rFonts w:cs="Calibri"/>
          <w:i/>
        </w:rPr>
        <w:t>per</w:t>
      </w:r>
      <w:r w:rsidR="00F50E2F" w:rsidRPr="00945F4D">
        <w:rPr>
          <w:rFonts w:cs="Calibri"/>
          <w:i/>
        </w:rPr>
        <w:t> we</w:t>
      </w:r>
      <w:r w:rsidR="00D84BEA" w:rsidRPr="00945F4D">
        <w:rPr>
          <w:rFonts w:cs="Calibri"/>
          <w:i/>
        </w:rPr>
        <w:t xml:space="preserve">ek for a fifteen week semester; a </w:t>
      </w:r>
      <w:r w:rsidR="00F50E2F" w:rsidRPr="00945F4D">
        <w:rPr>
          <w:rFonts w:cs="Calibri"/>
          <w:i/>
        </w:rPr>
        <w:t>credit hour is a</w:t>
      </w:r>
      <w:r w:rsidR="00D84BEA" w:rsidRPr="00945F4D">
        <w:rPr>
          <w:rFonts w:cs="Calibri"/>
          <w:i/>
        </w:rPr>
        <w:t xml:space="preserve"> 55-minute session</w:t>
      </w:r>
      <w:r w:rsidR="00F50E2F" w:rsidRPr="00945F4D">
        <w:rPr>
          <w:rFonts w:cs="Calibri"/>
          <w:i/>
        </w:rPr>
        <w:t xml:space="preserve"> of classroom instruction with a normal expectation of two hours of outside study for each class session.</w:t>
      </w:r>
      <w:r w:rsidR="00F50E2F" w:rsidRPr="00945F4D">
        <w:rPr>
          <w:rFonts w:ascii="Arial" w:hAnsi="Arial" w:cs="Arial"/>
          <w:color w:val="222222"/>
          <w:shd w:val="clear" w:color="auto" w:fill="FFFFFF"/>
        </w:rPr>
        <w:t> </w:t>
      </w:r>
    </w:p>
    <w:p w:rsidR="00F50E2F" w:rsidRPr="00945F4D" w:rsidRDefault="00F50E2F" w:rsidP="006D49D8">
      <w:pPr>
        <w:spacing w:after="0" w:line="240" w:lineRule="auto"/>
        <w:contextualSpacing/>
        <w:rPr>
          <w:rFonts w:cs="Calibri"/>
          <w:b/>
        </w:rPr>
      </w:pPr>
    </w:p>
    <w:p w:rsidR="00C9360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Contact Hours:</w:t>
      </w:r>
      <w:r w:rsidR="00F50E2F" w:rsidRPr="00945F4D">
        <w:rPr>
          <w:rFonts w:cs="Calibri"/>
          <w:b/>
        </w:rPr>
        <w:t xml:space="preserve"> </w:t>
      </w:r>
      <w:r w:rsidR="00F50E2F" w:rsidRPr="00945F4D">
        <w:rPr>
          <w:rFonts w:cs="Calibri"/>
          <w:i/>
        </w:rPr>
        <w:t>A unit of measure that represents an hour of scheduled instruction</w:t>
      </w:r>
      <w:r w:rsidR="00D84BEA" w:rsidRPr="00945F4D">
        <w:rPr>
          <w:rFonts w:cs="Calibri"/>
          <w:i/>
        </w:rPr>
        <w:t xml:space="preserve"> per week given to students, based on a fifteen week </w:t>
      </w:r>
      <w:r w:rsidR="006D49D8" w:rsidRPr="00945F4D">
        <w:rPr>
          <w:rFonts w:cs="Calibri"/>
          <w:i/>
        </w:rPr>
        <w:t>semester</w:t>
      </w:r>
      <w:r w:rsidR="00D84BEA" w:rsidRPr="00945F4D">
        <w:rPr>
          <w:rFonts w:cs="Calibri"/>
          <w:i/>
        </w:rPr>
        <w:t>.</w:t>
      </w:r>
    </w:p>
    <w:p w:rsidR="006D49D8" w:rsidRPr="00945F4D" w:rsidRDefault="006D49D8" w:rsidP="006D49D8">
      <w:pPr>
        <w:spacing w:after="0" w:line="240" w:lineRule="auto"/>
        <w:contextualSpacing/>
        <w:rPr>
          <w:rFonts w:cs="Calibri"/>
          <w:b/>
        </w:rPr>
      </w:pPr>
    </w:p>
    <w:p w:rsidR="00C9360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Lecture Hours:</w:t>
      </w:r>
      <w:r w:rsidR="00F50E2F" w:rsidRPr="00945F4D">
        <w:rPr>
          <w:rFonts w:cs="Calibri"/>
          <w:b/>
        </w:rPr>
        <w:t xml:space="preserve"> </w:t>
      </w:r>
      <w:r w:rsidR="00D84BEA" w:rsidRPr="00945F4D">
        <w:rPr>
          <w:rFonts w:cs="Calibri"/>
          <w:i/>
        </w:rPr>
        <w:t>O</w:t>
      </w:r>
      <w:r w:rsidR="00F50E2F" w:rsidRPr="00945F4D">
        <w:rPr>
          <w:rFonts w:cs="Calibri"/>
          <w:i/>
        </w:rPr>
        <w:t>ne hour of lecture class time and two hours per week of homework</w:t>
      </w:r>
      <w:r w:rsidR="00D84BEA" w:rsidRPr="00945F4D">
        <w:rPr>
          <w:rFonts w:cs="Calibri"/>
          <w:i/>
        </w:rPr>
        <w:t xml:space="preserve">, based on fifteen week </w:t>
      </w:r>
      <w:r w:rsidR="006D49D8" w:rsidRPr="00945F4D">
        <w:rPr>
          <w:rFonts w:cs="Calibri"/>
          <w:i/>
        </w:rPr>
        <w:t>semester.</w:t>
      </w:r>
    </w:p>
    <w:p w:rsidR="006D49D8" w:rsidRPr="00945F4D" w:rsidRDefault="006D49D8" w:rsidP="006D49D8">
      <w:pPr>
        <w:spacing w:after="0" w:line="240" w:lineRule="auto"/>
        <w:contextualSpacing/>
        <w:rPr>
          <w:rFonts w:cs="Calibri"/>
          <w:i/>
        </w:rPr>
      </w:pPr>
    </w:p>
    <w:p w:rsidR="00C9360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Lab Hours:</w:t>
      </w:r>
      <w:r w:rsidR="00F50E2F" w:rsidRPr="00945F4D">
        <w:rPr>
          <w:rFonts w:cs="Calibri"/>
          <w:b/>
        </w:rPr>
        <w:t xml:space="preserve"> </w:t>
      </w:r>
      <w:r w:rsidR="00F50E2F" w:rsidRPr="00945F4D">
        <w:rPr>
          <w:rFonts w:cs="Calibri"/>
          <w:i/>
        </w:rPr>
        <w:t>Two hours of lab time equals one hour of credit</w:t>
      </w:r>
      <w:r w:rsidR="00D84BEA" w:rsidRPr="00945F4D">
        <w:rPr>
          <w:rFonts w:cs="Calibri"/>
          <w:i/>
        </w:rPr>
        <w:t xml:space="preserve">, based on fifteen week </w:t>
      </w:r>
      <w:r w:rsidR="006D49D8" w:rsidRPr="00945F4D">
        <w:rPr>
          <w:rFonts w:cs="Calibri"/>
          <w:i/>
        </w:rPr>
        <w:t>semester.</w:t>
      </w:r>
    </w:p>
    <w:p w:rsidR="006D49D8" w:rsidRPr="00945F4D" w:rsidRDefault="006D49D8" w:rsidP="006D49D8">
      <w:pPr>
        <w:spacing w:after="0" w:line="240" w:lineRule="auto"/>
        <w:contextualSpacing/>
        <w:rPr>
          <w:rFonts w:cs="Calibri"/>
          <w:i/>
        </w:rPr>
      </w:pPr>
    </w:p>
    <w:p w:rsidR="00C9360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Recitation Hours:</w:t>
      </w:r>
      <w:r w:rsidR="006D49D8" w:rsidRPr="00945F4D">
        <w:rPr>
          <w:rFonts w:cs="Calibri"/>
          <w:b/>
        </w:rPr>
        <w:t xml:space="preserve">  </w:t>
      </w:r>
      <w:r w:rsidR="006D49D8" w:rsidRPr="00945F4D">
        <w:rPr>
          <w:rFonts w:cs="Calibri"/>
          <w:i/>
        </w:rPr>
        <w:t>One hour of study per week that includes problem solving, quizzes, and laboratory preparation to accompany lectures, based on a fifteen week semester.</w:t>
      </w:r>
    </w:p>
    <w:p w:rsidR="006D49D8" w:rsidRPr="00945F4D" w:rsidRDefault="006D49D8" w:rsidP="006D49D8">
      <w:pPr>
        <w:spacing w:after="0" w:line="240" w:lineRule="auto"/>
        <w:contextualSpacing/>
        <w:rPr>
          <w:rFonts w:cs="Calibri"/>
          <w:i/>
        </w:rPr>
      </w:pPr>
    </w:p>
    <w:p w:rsidR="00C9360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Required Prerequisites:</w:t>
      </w:r>
      <w:r w:rsidR="00F50E2F" w:rsidRPr="00945F4D">
        <w:rPr>
          <w:rFonts w:cs="Calibri"/>
          <w:b/>
        </w:rPr>
        <w:t xml:space="preserve">  </w:t>
      </w:r>
      <w:r w:rsidR="00D84BEA" w:rsidRPr="00945F4D">
        <w:rPr>
          <w:rFonts w:cs="Calibri"/>
          <w:i/>
        </w:rPr>
        <w:t>A</w:t>
      </w:r>
      <w:r w:rsidR="00F50E2F" w:rsidRPr="00945F4D">
        <w:rPr>
          <w:rFonts w:cs="Calibri"/>
          <w:i/>
        </w:rPr>
        <w:t xml:space="preserve"> formal course of stud</w:t>
      </w:r>
      <w:r w:rsidR="006D49D8" w:rsidRPr="00945F4D">
        <w:rPr>
          <w:rFonts w:cs="Calibri"/>
          <w:i/>
        </w:rPr>
        <w:t>y</w:t>
      </w:r>
      <w:r w:rsidR="00F50E2F" w:rsidRPr="00945F4D">
        <w:rPr>
          <w:rFonts w:cs="Calibri"/>
          <w:i/>
        </w:rPr>
        <w:t xml:space="preserve"> that a student must have before this course</w:t>
      </w:r>
    </w:p>
    <w:p w:rsidR="006D49D8" w:rsidRPr="00945F4D" w:rsidRDefault="006D49D8" w:rsidP="006D49D8">
      <w:pPr>
        <w:spacing w:after="0" w:line="240" w:lineRule="auto"/>
        <w:contextualSpacing/>
        <w:rPr>
          <w:rFonts w:cs="Calibri"/>
          <w:i/>
        </w:rPr>
      </w:pPr>
    </w:p>
    <w:p w:rsidR="00736E2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Recommended Prerequisites</w:t>
      </w:r>
      <w:r w:rsidR="00736E2F" w:rsidRPr="00945F4D">
        <w:rPr>
          <w:rFonts w:cs="Calibri"/>
          <w:b/>
        </w:rPr>
        <w:t xml:space="preserve"> or Skills/Competencies</w:t>
      </w:r>
      <w:r w:rsidRPr="00945F4D">
        <w:rPr>
          <w:rFonts w:cs="Calibri"/>
          <w:b/>
        </w:rPr>
        <w:t>:</w:t>
      </w:r>
      <w:r w:rsidR="00736E2F" w:rsidRPr="00945F4D">
        <w:rPr>
          <w:rFonts w:cs="Calibri"/>
          <w:b/>
        </w:rPr>
        <w:t xml:space="preserve">  </w:t>
      </w:r>
      <w:r w:rsidR="00736E2F" w:rsidRPr="00945F4D">
        <w:rPr>
          <w:rFonts w:cs="Calibri"/>
          <w:i/>
        </w:rPr>
        <w:t xml:space="preserve">Describe the recommended </w:t>
      </w:r>
      <w:r w:rsidR="006D49D8" w:rsidRPr="00945F4D">
        <w:rPr>
          <w:rFonts w:cs="Calibri"/>
          <w:i/>
        </w:rPr>
        <w:t xml:space="preserve">courses or </w:t>
      </w:r>
      <w:r w:rsidR="00736E2F" w:rsidRPr="00945F4D">
        <w:rPr>
          <w:rFonts w:cs="Calibri"/>
          <w:i/>
        </w:rPr>
        <w:t>competencies for entry INTO this course, such as reading skill, writing skills, and math skills, etc.  The recommended competencies may be stated as COMPASS placement scores.</w:t>
      </w:r>
    </w:p>
    <w:p w:rsidR="00736E2F" w:rsidRPr="00945F4D" w:rsidRDefault="00736E2F" w:rsidP="006D49D8">
      <w:pPr>
        <w:spacing w:after="0" w:line="240" w:lineRule="auto"/>
        <w:contextualSpacing/>
        <w:rPr>
          <w:rFonts w:cs="Calibri"/>
          <w:b/>
        </w:rPr>
      </w:pPr>
    </w:p>
    <w:p w:rsidR="003E625F" w:rsidRPr="00945F4D" w:rsidRDefault="00C9360F" w:rsidP="006D49D8">
      <w:pPr>
        <w:spacing w:after="0" w:line="240" w:lineRule="auto"/>
        <w:contextualSpacing/>
        <w:rPr>
          <w:rFonts w:cs="Calibri"/>
          <w:i/>
        </w:rPr>
      </w:pPr>
      <w:r w:rsidRPr="00945F4D">
        <w:rPr>
          <w:rFonts w:cs="Calibri"/>
          <w:b/>
        </w:rPr>
        <w:t>Co-requisites:</w:t>
      </w:r>
      <w:r w:rsidR="00F50E2F" w:rsidRPr="00945F4D">
        <w:rPr>
          <w:rFonts w:cs="Calibri"/>
          <w:b/>
        </w:rPr>
        <w:t xml:space="preserve">  </w:t>
      </w:r>
      <w:r w:rsidR="006D49D8" w:rsidRPr="00945F4D">
        <w:rPr>
          <w:rFonts w:cs="Calibri"/>
          <w:i/>
        </w:rPr>
        <w:t>A</w:t>
      </w:r>
      <w:r w:rsidR="00F50E2F" w:rsidRPr="00945F4D">
        <w:rPr>
          <w:rFonts w:cs="Calibri"/>
          <w:i/>
        </w:rPr>
        <w:t xml:space="preserve"> formal course of study required to be taken simultaneously with another OR an academic course required to be taken in conjunction with another course</w:t>
      </w:r>
      <w:r w:rsidR="006D49D8" w:rsidRPr="00945F4D">
        <w:rPr>
          <w:rFonts w:cs="Calibri"/>
          <w:i/>
        </w:rPr>
        <w:t>.</w:t>
      </w:r>
    </w:p>
    <w:p w:rsidR="006D49D8" w:rsidRDefault="006D49D8" w:rsidP="006D49D8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945F4D" w:rsidRDefault="00945F4D" w:rsidP="006D49D8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1625" w:rsidRPr="00F426B0" w:rsidTr="00F426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17C7A" w:rsidRPr="00F426B0" w:rsidRDefault="00517C7A" w:rsidP="00F426B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9360F" w:rsidRPr="00F426B0" w:rsidRDefault="00C9360F" w:rsidP="00E82258">
      <w:pPr>
        <w:spacing w:after="0" w:line="240" w:lineRule="auto"/>
        <w:contextualSpacing/>
        <w:rPr>
          <w:rFonts w:cs="Calibri"/>
        </w:rPr>
      </w:pPr>
    </w:p>
    <w:p w:rsidR="00517C7A" w:rsidRDefault="00517C7A" w:rsidP="00E82258">
      <w:pPr>
        <w:spacing w:after="0" w:line="240" w:lineRule="auto"/>
        <w:contextualSpacing/>
        <w:rPr>
          <w:rFonts w:cs="Calibri"/>
          <w:i/>
          <w:sz w:val="24"/>
          <w:szCs w:val="24"/>
        </w:rPr>
      </w:pPr>
      <w:r w:rsidRPr="00F426B0">
        <w:rPr>
          <w:rFonts w:cs="Calibri"/>
          <w:b/>
          <w:sz w:val="24"/>
          <w:szCs w:val="24"/>
        </w:rPr>
        <w:t>General Education Outcomes</w:t>
      </w:r>
      <w:r w:rsidRPr="00F426B0">
        <w:rPr>
          <w:rFonts w:cs="Calibri"/>
          <w:sz w:val="24"/>
          <w:szCs w:val="24"/>
        </w:rPr>
        <w:t xml:space="preserve">:  </w:t>
      </w:r>
      <w:r w:rsidRPr="00F426B0">
        <w:rPr>
          <w:rFonts w:cs="Calibri"/>
          <w:i/>
          <w:sz w:val="24"/>
          <w:szCs w:val="24"/>
        </w:rPr>
        <w:t>NMC has three common general education learning outcomes – Communications, Critical Thinking, and Quantitative Reasoning.  Please select the general education outcome(s) supported by this course.  All Group 1 courses at NMC must support a minimum of one general education outcome.  Evidence of support must be annotated in the course outcomes section.  The general education outcomes are defined below</w:t>
      </w:r>
      <w:r w:rsidR="003E625F">
        <w:rPr>
          <w:rFonts w:cs="Calibri"/>
          <w:i/>
          <w:sz w:val="24"/>
          <w:szCs w:val="24"/>
        </w:rPr>
        <w:t xml:space="preserve"> and further explanation for how to address the general education outcomes as course learning outcomes is provided below</w:t>
      </w:r>
      <w:r w:rsidRPr="00F426B0">
        <w:rPr>
          <w:rFonts w:cs="Calibri"/>
          <w:i/>
          <w:sz w:val="24"/>
          <w:szCs w:val="24"/>
        </w:rPr>
        <w:t>.</w:t>
      </w:r>
    </w:p>
    <w:p w:rsidR="00E82258" w:rsidRPr="00F426B0" w:rsidRDefault="00E82258" w:rsidP="00E82258">
      <w:pPr>
        <w:spacing w:after="0" w:line="240" w:lineRule="auto"/>
        <w:contextualSpacing/>
        <w:rPr>
          <w:rFonts w:cs="Calibri"/>
          <w:i/>
          <w:sz w:val="24"/>
          <w:szCs w:val="24"/>
        </w:rPr>
      </w:pPr>
    </w:p>
    <w:tbl>
      <w:tblPr>
        <w:tblW w:w="9720" w:type="dxa"/>
        <w:tblInd w:w="-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825"/>
      </w:tblGrid>
      <w:tr w:rsidR="005F1625" w:rsidRPr="00F426B0" w:rsidTr="00956280">
        <w:trPr>
          <w:trHeight w:val="260"/>
        </w:trPr>
        <w:tc>
          <w:tcPr>
            <w:tcW w:w="189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426B0">
              <w:rPr>
                <w:rFonts w:cs="Calibri"/>
                <w:b/>
                <w:sz w:val="24"/>
                <w:szCs w:val="24"/>
              </w:rPr>
              <w:t>Communications</w:t>
            </w:r>
          </w:p>
        </w:tc>
        <w:tc>
          <w:tcPr>
            <w:tcW w:w="782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  <w:r w:rsidRPr="00F426B0">
              <w:rPr>
                <w:rFonts w:cs="Calibri"/>
                <w:i/>
                <w:sz w:val="24"/>
                <w:szCs w:val="24"/>
              </w:rPr>
              <w:t>Students will practice effective communication with an awareness of audience and a sense of purpose.</w:t>
            </w:r>
          </w:p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</w:p>
        </w:tc>
      </w:tr>
      <w:tr w:rsidR="005F1625" w:rsidRPr="00F426B0" w:rsidTr="00956280">
        <w:trPr>
          <w:trHeight w:val="1070"/>
        </w:trPr>
        <w:tc>
          <w:tcPr>
            <w:tcW w:w="189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426B0">
              <w:rPr>
                <w:rFonts w:cs="Calibri"/>
                <w:b/>
                <w:sz w:val="24"/>
                <w:szCs w:val="24"/>
              </w:rPr>
              <w:t xml:space="preserve">Critical Thinking  </w:t>
            </w:r>
          </w:p>
        </w:tc>
        <w:tc>
          <w:tcPr>
            <w:tcW w:w="782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  <w:r w:rsidRPr="00F426B0">
              <w:rPr>
                <w:rFonts w:cs="Calibri"/>
                <w:i/>
                <w:sz w:val="24"/>
                <w:szCs w:val="24"/>
              </w:rPr>
              <w:t>Students will skillfully conceptualize, apply, analyze, synthesize, and evaluate information gathered from observation, experience, reflection, reasoning, or communication.</w:t>
            </w:r>
          </w:p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</w:p>
        </w:tc>
      </w:tr>
      <w:tr w:rsidR="005F1625" w:rsidRPr="00F426B0" w:rsidTr="00956280">
        <w:trPr>
          <w:trHeight w:val="980"/>
        </w:trPr>
        <w:tc>
          <w:tcPr>
            <w:tcW w:w="189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426B0">
              <w:rPr>
                <w:rFonts w:cs="Calibri"/>
                <w:b/>
                <w:sz w:val="24"/>
                <w:szCs w:val="24"/>
              </w:rPr>
              <w:t>Quantitative Reasoning</w:t>
            </w:r>
          </w:p>
        </w:tc>
        <w:tc>
          <w:tcPr>
            <w:tcW w:w="7825" w:type="dxa"/>
            <w:shd w:val="clear" w:color="auto" w:fill="auto"/>
          </w:tcPr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  <w:r w:rsidRPr="00F426B0">
              <w:rPr>
                <w:rFonts w:cs="Calibri"/>
                <w:i/>
                <w:sz w:val="24"/>
                <w:szCs w:val="24"/>
              </w:rPr>
              <w:t>Student will accurately use numbers, symbols, measurements, properties, and the relationships of quantities to make sound decisions, judgments, and/or </w:t>
            </w:r>
          </w:p>
          <w:p w:rsidR="00517C7A" w:rsidRPr="00F426B0" w:rsidRDefault="00517C7A" w:rsidP="00E82258">
            <w:pPr>
              <w:spacing w:after="0" w:line="240" w:lineRule="auto"/>
              <w:contextualSpacing/>
              <w:rPr>
                <w:rFonts w:cs="Calibri"/>
                <w:i/>
                <w:sz w:val="24"/>
                <w:szCs w:val="24"/>
              </w:rPr>
            </w:pPr>
            <w:r w:rsidRPr="00F426B0">
              <w:rPr>
                <w:rFonts w:cs="Calibri"/>
                <w:i/>
                <w:sz w:val="24"/>
                <w:szCs w:val="24"/>
              </w:rPr>
              <w:t>Predictions.</w:t>
            </w:r>
          </w:p>
        </w:tc>
      </w:tr>
    </w:tbl>
    <w:p w:rsidR="00517C7A" w:rsidRPr="00F426B0" w:rsidRDefault="00517C7A" w:rsidP="00E82258">
      <w:pPr>
        <w:spacing w:after="0" w:line="240" w:lineRule="auto"/>
        <w:contextualSpacing/>
        <w:rPr>
          <w:rFonts w:cs="Calibri"/>
          <w:i/>
          <w:sz w:val="24"/>
          <w:szCs w:val="24"/>
        </w:rPr>
      </w:pPr>
    </w:p>
    <w:p w:rsidR="00DF5A8E" w:rsidRDefault="00DF5A8E" w:rsidP="00E82258">
      <w:pPr>
        <w:spacing w:after="0" w:line="240" w:lineRule="auto"/>
        <w:contextualSpacing/>
        <w:rPr>
          <w:rFonts w:cs="Calibri"/>
          <w:i/>
          <w:sz w:val="24"/>
          <w:szCs w:val="24"/>
        </w:rPr>
      </w:pPr>
      <w:r w:rsidRPr="00F426B0">
        <w:rPr>
          <w:rFonts w:cs="Calibri"/>
          <w:b/>
          <w:sz w:val="24"/>
          <w:szCs w:val="24"/>
        </w:rPr>
        <w:t>Other College Designations:</w:t>
      </w:r>
      <w:r w:rsidRPr="00F426B0">
        <w:rPr>
          <w:rFonts w:cs="Calibri"/>
          <w:sz w:val="24"/>
          <w:szCs w:val="24"/>
        </w:rPr>
        <w:t xml:space="preserve">  </w:t>
      </w:r>
      <w:r w:rsidRPr="00F426B0">
        <w:rPr>
          <w:rFonts w:cs="Calibri"/>
          <w:i/>
          <w:sz w:val="24"/>
          <w:szCs w:val="24"/>
        </w:rPr>
        <w:t>NMC has two other college designations identified on the course outline for each course – Cultural Perspectives</w:t>
      </w:r>
      <w:r w:rsidR="00D466ED">
        <w:rPr>
          <w:rFonts w:cs="Calibri"/>
          <w:i/>
          <w:sz w:val="24"/>
          <w:szCs w:val="24"/>
        </w:rPr>
        <w:t>/Diversity</w:t>
      </w:r>
      <w:r w:rsidRPr="00F426B0">
        <w:rPr>
          <w:rFonts w:cs="Calibri"/>
          <w:i/>
          <w:sz w:val="24"/>
          <w:szCs w:val="24"/>
        </w:rPr>
        <w:t xml:space="preserve"> and Writing Intensive.  Please select whether this course supports the Cultural Perspectives</w:t>
      </w:r>
      <w:r w:rsidR="00D466ED">
        <w:rPr>
          <w:rFonts w:cs="Calibri"/>
          <w:i/>
          <w:sz w:val="24"/>
          <w:szCs w:val="24"/>
        </w:rPr>
        <w:t>/Diversity</w:t>
      </w:r>
      <w:r w:rsidRPr="00F426B0">
        <w:rPr>
          <w:rFonts w:cs="Calibri"/>
          <w:i/>
          <w:sz w:val="24"/>
          <w:szCs w:val="24"/>
        </w:rPr>
        <w:t xml:space="preserve"> designation.  Evidence of support for Cultural </w:t>
      </w:r>
      <w:r w:rsidR="00E82258" w:rsidRPr="00F426B0">
        <w:rPr>
          <w:rFonts w:cs="Calibri"/>
          <w:i/>
          <w:sz w:val="24"/>
          <w:szCs w:val="24"/>
        </w:rPr>
        <w:t>Perspectives</w:t>
      </w:r>
      <w:r w:rsidR="00D466ED">
        <w:rPr>
          <w:rFonts w:cs="Calibri"/>
          <w:i/>
          <w:sz w:val="24"/>
          <w:szCs w:val="24"/>
        </w:rPr>
        <w:t>/Diversity</w:t>
      </w:r>
      <w:r w:rsidRPr="00F426B0">
        <w:rPr>
          <w:rFonts w:cs="Calibri"/>
          <w:i/>
          <w:sz w:val="24"/>
          <w:szCs w:val="24"/>
        </w:rPr>
        <w:t>, defined below, must be annotated in the course outcomes section.  Courses selecting the Writing Intensive designation adhere to the guidelines below.</w:t>
      </w:r>
    </w:p>
    <w:p w:rsidR="00E82258" w:rsidRPr="00F426B0" w:rsidRDefault="00E82258" w:rsidP="00E82258">
      <w:pPr>
        <w:spacing w:after="0" w:line="240" w:lineRule="auto"/>
        <w:contextualSpacing/>
        <w:rPr>
          <w:rFonts w:cs="Calibri"/>
          <w:i/>
          <w:sz w:val="24"/>
          <w:szCs w:val="24"/>
        </w:rPr>
      </w:pPr>
    </w:p>
    <w:tbl>
      <w:tblPr>
        <w:tblW w:w="9720" w:type="dxa"/>
        <w:tblInd w:w="-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7645"/>
      </w:tblGrid>
      <w:tr w:rsidR="005F1625" w:rsidRPr="00F426B0" w:rsidTr="00F426B0">
        <w:trPr>
          <w:trHeight w:val="710"/>
        </w:trPr>
        <w:tc>
          <w:tcPr>
            <w:tcW w:w="2075" w:type="dxa"/>
            <w:shd w:val="clear" w:color="auto" w:fill="auto"/>
          </w:tcPr>
          <w:p w:rsidR="00DF5A8E" w:rsidRPr="00F426B0" w:rsidRDefault="00DF5A8E" w:rsidP="00E8225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426B0">
              <w:rPr>
                <w:rFonts w:cs="Calibri"/>
                <w:b/>
                <w:sz w:val="24"/>
                <w:szCs w:val="24"/>
              </w:rPr>
              <w:t>Cultural Perspectives</w:t>
            </w:r>
            <w:r w:rsidR="00D466ED">
              <w:rPr>
                <w:rFonts w:cs="Calibri"/>
                <w:b/>
                <w:sz w:val="24"/>
                <w:szCs w:val="24"/>
              </w:rPr>
              <w:t>/ Diversity</w:t>
            </w:r>
          </w:p>
        </w:tc>
        <w:tc>
          <w:tcPr>
            <w:tcW w:w="7645" w:type="dxa"/>
            <w:shd w:val="clear" w:color="auto" w:fill="auto"/>
          </w:tcPr>
          <w:p w:rsidR="00DF5A8E" w:rsidRPr="00F426B0" w:rsidRDefault="00DF5A8E" w:rsidP="00E82258">
            <w:pPr>
              <w:spacing w:after="0" w:line="240" w:lineRule="auto"/>
              <w:contextualSpacing/>
              <w:rPr>
                <w:rFonts w:cs="TimesNewRomanPSMT"/>
                <w:i/>
                <w:sz w:val="24"/>
                <w:szCs w:val="24"/>
              </w:rPr>
            </w:pPr>
            <w:r w:rsidRPr="00F426B0">
              <w:rPr>
                <w:rFonts w:cs="TimesNewRomanPSMT"/>
                <w:i/>
                <w:sz w:val="24"/>
                <w:szCs w:val="24"/>
              </w:rPr>
              <w:t>Students will evaluate connections between worldviews, power structures, and experiences of multiple cultures historically or in contemporary contexts.</w:t>
            </w:r>
          </w:p>
          <w:p w:rsidR="00DF5A8E" w:rsidRPr="00F426B0" w:rsidRDefault="00DF5A8E" w:rsidP="00E82258">
            <w:pPr>
              <w:spacing w:after="0" w:line="240" w:lineRule="auto"/>
              <w:contextualSpacing/>
              <w:rPr>
                <w:rFonts w:cs="TimesNewRomanPSMT"/>
                <w:i/>
                <w:sz w:val="24"/>
                <w:szCs w:val="24"/>
              </w:rPr>
            </w:pPr>
          </w:p>
        </w:tc>
      </w:tr>
      <w:tr w:rsidR="005F1625" w:rsidRPr="00F426B0" w:rsidTr="00F426B0">
        <w:trPr>
          <w:trHeight w:val="710"/>
        </w:trPr>
        <w:tc>
          <w:tcPr>
            <w:tcW w:w="2075" w:type="dxa"/>
            <w:shd w:val="clear" w:color="auto" w:fill="auto"/>
          </w:tcPr>
          <w:p w:rsidR="00DF5A8E" w:rsidRPr="00F426B0" w:rsidRDefault="00DF5A8E" w:rsidP="00E8225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426B0">
              <w:rPr>
                <w:rFonts w:cs="Calibri"/>
                <w:b/>
                <w:sz w:val="24"/>
                <w:szCs w:val="24"/>
              </w:rPr>
              <w:t>Writing Intensive</w:t>
            </w:r>
          </w:p>
        </w:tc>
        <w:tc>
          <w:tcPr>
            <w:tcW w:w="7645" w:type="dxa"/>
            <w:shd w:val="clear" w:color="auto" w:fill="auto"/>
          </w:tcPr>
          <w:p w:rsidR="00DF5A8E" w:rsidRPr="00F426B0" w:rsidRDefault="00C917DC" w:rsidP="00E82258">
            <w:pPr>
              <w:spacing w:after="0" w:line="240" w:lineRule="auto"/>
              <w:contextualSpacing/>
              <w:rPr>
                <w:rFonts w:cs="TimesNewRomanPSMT"/>
                <w:i/>
                <w:sz w:val="24"/>
                <w:szCs w:val="24"/>
              </w:rPr>
            </w:pPr>
            <w:r w:rsidRPr="00C917DC">
              <w:rPr>
                <w:rFonts w:cs="TimesNewRomanPSMT"/>
                <w:i/>
                <w:sz w:val="24"/>
                <w:szCs w:val="24"/>
              </w:rPr>
              <w:t>Writing intensive courses use formal and informal writing to help students learn course content and offer some class instruction on developing formal writing assignments. Formal writing may be form-specific to a discipline, such as field reports, technical reports, or business documents. Informal writing includes a broad range of activities such as journal writing, collaborative exercises, brainstorming, verbal games with key concepts, and so on. Course assigned activities include: 12-20 pages of formally evaluated writing (including drafts and revisions) and 4-8 informal writing assignments. It is strongly encouraged that courses that are identified as Writing Intensive also be marked as supporting the Communications general education outcome.</w:t>
            </w:r>
          </w:p>
        </w:tc>
      </w:tr>
    </w:tbl>
    <w:p w:rsidR="003E625F" w:rsidRDefault="003E625F">
      <w:pPr>
        <w:spacing w:after="0" w:line="240" w:lineRule="auto"/>
        <w:rPr>
          <w:b/>
          <w:sz w:val="24"/>
          <w:szCs w:val="24"/>
        </w:rPr>
      </w:pPr>
    </w:p>
    <w:p w:rsidR="00E82258" w:rsidRDefault="00E82258" w:rsidP="00E82258">
      <w:pPr>
        <w:shd w:val="clear" w:color="auto" w:fill="808080" w:themeFill="background1" w:themeFillShade="80"/>
        <w:spacing w:after="0" w:line="240" w:lineRule="auto"/>
        <w:contextualSpacing/>
        <w:rPr>
          <w:b/>
          <w:sz w:val="24"/>
          <w:szCs w:val="24"/>
        </w:rPr>
      </w:pPr>
    </w:p>
    <w:p w:rsidR="00E82258" w:rsidRDefault="00E82258" w:rsidP="00E82258">
      <w:pPr>
        <w:spacing w:after="0" w:line="240" w:lineRule="auto"/>
        <w:contextualSpacing/>
        <w:rPr>
          <w:b/>
          <w:sz w:val="24"/>
          <w:szCs w:val="24"/>
        </w:rPr>
      </w:pPr>
    </w:p>
    <w:p w:rsidR="00E82258" w:rsidRPr="00E82258" w:rsidRDefault="00E82258" w:rsidP="00E82258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E82258">
        <w:rPr>
          <w:b/>
          <w:sz w:val="24"/>
          <w:szCs w:val="24"/>
        </w:rPr>
        <w:t>Course Learning Outcomes</w:t>
      </w:r>
    </w:p>
    <w:p w:rsidR="00D466ED" w:rsidRDefault="00AC230C" w:rsidP="000D2F00">
      <w:pPr>
        <w:spacing w:after="0" w:line="240" w:lineRule="auto"/>
        <w:contextualSpacing/>
        <w:rPr>
          <w:rFonts w:cs="Calibri"/>
          <w:i/>
          <w:sz w:val="24"/>
          <w:szCs w:val="24"/>
        </w:rPr>
      </w:pPr>
      <w:bookmarkStart w:id="0" w:name="_GoBack"/>
      <w:bookmarkEnd w:id="0"/>
      <w:r w:rsidRPr="000D2F00">
        <w:rPr>
          <w:rFonts w:cs="Calibri"/>
          <w:i/>
          <w:sz w:val="24"/>
          <w:szCs w:val="24"/>
        </w:rPr>
        <w:t xml:space="preserve">Every course will have between 5 to </w:t>
      </w:r>
      <w:r w:rsidR="006B3B46" w:rsidRPr="000D2F00">
        <w:rPr>
          <w:rFonts w:cs="Calibri"/>
          <w:i/>
          <w:sz w:val="24"/>
          <w:szCs w:val="24"/>
        </w:rPr>
        <w:t>10</w:t>
      </w:r>
      <w:r w:rsidRPr="000D2F00">
        <w:rPr>
          <w:rFonts w:cs="Calibri"/>
          <w:i/>
          <w:sz w:val="24"/>
          <w:szCs w:val="24"/>
        </w:rPr>
        <w:t xml:space="preserve"> learning outcomes.  As a guideline, for each course credit a course might have 2-3 learning outcomes.  </w:t>
      </w:r>
      <w:r w:rsidR="006B3B46" w:rsidRPr="000D2F00">
        <w:rPr>
          <w:rFonts w:cs="Calibri"/>
          <w:i/>
          <w:sz w:val="24"/>
          <w:szCs w:val="24"/>
        </w:rPr>
        <w:t>Learning outcomes are identified in one of six categories:  Knowledge, Application, Integration, Human Dimension, Caring, and Learning to Learn.  These categories of learning outcomes were ad</w:t>
      </w:r>
      <w:r w:rsidR="009D40C6" w:rsidRPr="000D2F00">
        <w:rPr>
          <w:rFonts w:cs="Calibri"/>
          <w:i/>
          <w:sz w:val="24"/>
          <w:szCs w:val="24"/>
        </w:rPr>
        <w:t xml:space="preserve">apted from the work of Dee Fink (Fink, L.D. (2003).  </w:t>
      </w:r>
      <w:r w:rsidR="009D40C6" w:rsidRPr="000D2F00">
        <w:rPr>
          <w:rFonts w:cs="Calibri"/>
          <w:sz w:val="24"/>
          <w:szCs w:val="24"/>
        </w:rPr>
        <w:t>Creating significant learning experiences.</w:t>
      </w:r>
      <w:r w:rsidR="009D40C6" w:rsidRPr="000D2F00">
        <w:rPr>
          <w:rFonts w:cs="Calibri"/>
          <w:i/>
          <w:sz w:val="24"/>
          <w:szCs w:val="24"/>
        </w:rPr>
        <w:t xml:space="preserve">  San </w:t>
      </w:r>
      <w:r w:rsidR="00123149" w:rsidRPr="000D2F00">
        <w:rPr>
          <w:rFonts w:cs="Calibri"/>
          <w:i/>
          <w:sz w:val="24"/>
          <w:szCs w:val="24"/>
        </w:rPr>
        <w:t>Francisco</w:t>
      </w:r>
      <w:r w:rsidR="009D40C6" w:rsidRPr="000D2F00">
        <w:rPr>
          <w:rFonts w:cs="Calibri"/>
          <w:i/>
          <w:sz w:val="24"/>
          <w:szCs w:val="24"/>
        </w:rPr>
        <w:t>, CA:  Josey-Bass).</w:t>
      </w:r>
      <w:r w:rsidR="00123149" w:rsidRPr="000D2F00">
        <w:rPr>
          <w:rFonts w:cs="Calibri"/>
          <w:i/>
          <w:sz w:val="24"/>
          <w:szCs w:val="24"/>
        </w:rPr>
        <w:t xml:space="preserve">  </w:t>
      </w:r>
    </w:p>
    <w:p w:rsidR="00D466ED" w:rsidRDefault="00D466ED" w:rsidP="000D2F00">
      <w:pPr>
        <w:spacing w:after="0" w:line="240" w:lineRule="auto"/>
        <w:contextualSpacing/>
        <w:rPr>
          <w:rFonts w:cs="Calibri"/>
          <w:i/>
          <w:sz w:val="24"/>
          <w:szCs w:val="24"/>
        </w:rPr>
      </w:pPr>
    </w:p>
    <w:p w:rsidR="00956280" w:rsidRDefault="00123149" w:rsidP="000D2F00">
      <w:pPr>
        <w:spacing w:after="0" w:line="240" w:lineRule="auto"/>
        <w:contextualSpacing/>
        <w:rPr>
          <w:rFonts w:cs="Calibri"/>
          <w:i/>
          <w:sz w:val="24"/>
          <w:szCs w:val="24"/>
        </w:rPr>
      </w:pPr>
      <w:r w:rsidRPr="000D2F00">
        <w:rPr>
          <w:rFonts w:cs="Calibri"/>
          <w:i/>
          <w:sz w:val="24"/>
          <w:szCs w:val="24"/>
        </w:rPr>
        <w:t xml:space="preserve">The following matrix provides guidance for identifying and locating learning outcomes within the six categories.  Courses are strongly encouraged to have learning outcomes in each category.  </w:t>
      </w:r>
      <w:r w:rsidR="000D2F00" w:rsidRPr="000D2F00">
        <w:rPr>
          <w:i/>
          <w:sz w:val="24"/>
          <w:szCs w:val="24"/>
        </w:rPr>
        <w:t xml:space="preserve">Keep in mind that </w:t>
      </w:r>
      <w:r w:rsidR="00D466ED">
        <w:rPr>
          <w:i/>
          <w:sz w:val="24"/>
          <w:szCs w:val="24"/>
        </w:rPr>
        <w:t xml:space="preserve">each </w:t>
      </w:r>
      <w:r w:rsidR="000D2F00" w:rsidRPr="000D2F00">
        <w:rPr>
          <w:i/>
          <w:sz w:val="24"/>
          <w:szCs w:val="24"/>
        </w:rPr>
        <w:t xml:space="preserve">outcome must have an identifiable assessment </w:t>
      </w:r>
      <w:r w:rsidR="00D466ED">
        <w:rPr>
          <w:i/>
          <w:sz w:val="24"/>
          <w:szCs w:val="24"/>
        </w:rPr>
        <w:t xml:space="preserve">and </w:t>
      </w:r>
      <w:r w:rsidR="006D49D8">
        <w:rPr>
          <w:i/>
          <w:sz w:val="24"/>
          <w:szCs w:val="24"/>
        </w:rPr>
        <w:t xml:space="preserve">must be </w:t>
      </w:r>
      <w:r w:rsidR="00D466ED">
        <w:rPr>
          <w:i/>
          <w:sz w:val="24"/>
          <w:szCs w:val="24"/>
        </w:rPr>
        <w:t xml:space="preserve">annotated on the course syllabus.  </w:t>
      </w:r>
      <w:r w:rsidRPr="000D2F00">
        <w:rPr>
          <w:rFonts w:cs="Calibri"/>
          <w:i/>
          <w:sz w:val="24"/>
          <w:szCs w:val="24"/>
        </w:rPr>
        <w:t>Evidence of support for the general education outcomes and Cultural Perspectives</w:t>
      </w:r>
      <w:r w:rsidR="00D466ED">
        <w:rPr>
          <w:rFonts w:cs="Calibri"/>
          <w:i/>
          <w:sz w:val="24"/>
          <w:szCs w:val="24"/>
        </w:rPr>
        <w:t>/Diversity</w:t>
      </w:r>
      <w:r w:rsidRPr="000D2F00">
        <w:rPr>
          <w:rFonts w:cs="Calibri"/>
          <w:i/>
          <w:sz w:val="24"/>
          <w:szCs w:val="24"/>
        </w:rPr>
        <w:t xml:space="preserve"> must be annotated as a course learning outcome (see examples below for further explanation).</w:t>
      </w:r>
      <w:r w:rsidR="00956280">
        <w:rPr>
          <w:rFonts w:cs="Calibri"/>
          <w:i/>
          <w:sz w:val="24"/>
          <w:szCs w:val="24"/>
        </w:rPr>
        <w:t xml:space="preserve">  Outcome statements typically start with “Students will…,” followed by an action verb.</w:t>
      </w:r>
    </w:p>
    <w:p w:rsidR="003E625F" w:rsidRDefault="00123149" w:rsidP="000D2F00">
      <w:pPr>
        <w:spacing w:after="0" w:line="240" w:lineRule="auto"/>
        <w:contextualSpacing/>
        <w:rPr>
          <w:rFonts w:cs="Calibri"/>
          <w:i/>
          <w:sz w:val="24"/>
          <w:szCs w:val="24"/>
        </w:rPr>
      </w:pPr>
      <w:r w:rsidRPr="000D2F00">
        <w:rPr>
          <w:rFonts w:cs="Calibri"/>
          <w:i/>
          <w:sz w:val="24"/>
          <w:szCs w:val="24"/>
        </w:rPr>
        <w:t xml:space="preserve">     </w:t>
      </w:r>
    </w:p>
    <w:p w:rsidR="003E625F" w:rsidRDefault="003E625F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506"/>
        <w:gridCol w:w="2551"/>
        <w:gridCol w:w="2712"/>
      </w:tblGrid>
      <w:tr w:rsidR="00123149" w:rsidRPr="00F426B0" w:rsidTr="00A216A3">
        <w:tc>
          <w:tcPr>
            <w:tcW w:w="9350" w:type="dxa"/>
            <w:gridSpan w:val="4"/>
            <w:shd w:val="clear" w:color="auto" w:fill="auto"/>
          </w:tcPr>
          <w:p w:rsidR="00123149" w:rsidRPr="00B71529" w:rsidRDefault="00123149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5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Learning Outcomes Category References</w:t>
            </w:r>
          </w:p>
        </w:tc>
      </w:tr>
      <w:tr w:rsidR="005F1625" w:rsidRPr="00F426B0" w:rsidTr="00B30CFF">
        <w:tc>
          <w:tcPr>
            <w:tcW w:w="1581" w:type="dxa"/>
            <w:shd w:val="clear" w:color="auto" w:fill="auto"/>
          </w:tcPr>
          <w:p w:rsidR="00CF10BF" w:rsidRPr="00B71529" w:rsidRDefault="004859E8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Prompts to consider when writing outcomes…</w:t>
            </w:r>
          </w:p>
        </w:tc>
        <w:tc>
          <w:tcPr>
            <w:tcW w:w="2506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529">
              <w:rPr>
                <w:rFonts w:asciiTheme="minorHAnsi" w:hAnsiTheme="minorHAnsi" w:cstheme="minorHAnsi"/>
                <w:b/>
                <w:sz w:val="24"/>
                <w:szCs w:val="24"/>
              </w:rPr>
              <w:t>Knowledge</w:t>
            </w:r>
          </w:p>
        </w:tc>
        <w:tc>
          <w:tcPr>
            <w:tcW w:w="2551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529">
              <w:rPr>
                <w:rFonts w:asciiTheme="minorHAnsi" w:hAnsiTheme="minorHAnsi" w:cstheme="minorHAnsi"/>
                <w:b/>
                <w:sz w:val="24"/>
                <w:szCs w:val="24"/>
              </w:rPr>
              <w:t>Application</w:t>
            </w:r>
          </w:p>
        </w:tc>
        <w:tc>
          <w:tcPr>
            <w:tcW w:w="2712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529">
              <w:rPr>
                <w:rFonts w:asciiTheme="minorHAnsi" w:hAnsiTheme="minorHAnsi" w:cstheme="minorHAnsi"/>
                <w:b/>
                <w:sz w:val="24"/>
                <w:szCs w:val="24"/>
              </w:rPr>
              <w:t>Integration</w:t>
            </w:r>
          </w:p>
        </w:tc>
      </w:tr>
      <w:tr w:rsidR="005F1625" w:rsidRPr="00F426B0" w:rsidTr="00B30CFF">
        <w:tc>
          <w:tcPr>
            <w:tcW w:w="1581" w:type="dxa"/>
            <w:shd w:val="clear" w:color="auto" w:fill="auto"/>
          </w:tcPr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  <w:b/>
              </w:rPr>
              <w:t>Questions to ask yourself when writing outcomes in this category:</w:t>
            </w:r>
          </w:p>
          <w:p w:rsidR="00CF10BF" w:rsidRPr="00B71529" w:rsidRDefault="00CF10BF" w:rsidP="00F426B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</w:rPr>
              <w:t xml:space="preserve">What is </w:t>
            </w:r>
            <w:r w:rsidR="004506A8" w:rsidRPr="00B71529">
              <w:rPr>
                <w:rFonts w:asciiTheme="minorHAnsi" w:hAnsiTheme="minorHAnsi" w:cstheme="minorHAnsi"/>
              </w:rPr>
              <w:t>essential for students to know</w:t>
            </w:r>
            <w:r w:rsidRPr="00B7152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</w:rPr>
              <w:t xml:space="preserve">What skills (thinking, creating, designing, building, </w:t>
            </w:r>
            <w:r w:rsidR="002C2E43" w:rsidRPr="00B71529">
              <w:rPr>
                <w:rFonts w:asciiTheme="minorHAnsi" w:hAnsiTheme="minorHAnsi" w:cstheme="minorHAnsi"/>
              </w:rPr>
              <w:t>and researching</w:t>
            </w:r>
            <w:r w:rsidRPr="00B71529">
              <w:rPr>
                <w:rFonts w:asciiTheme="minorHAnsi" w:hAnsiTheme="minorHAnsi" w:cstheme="minorHAnsi"/>
              </w:rPr>
              <w:t>) will a student develo</w:t>
            </w:r>
            <w:r w:rsidR="004506A8" w:rsidRPr="00B71529">
              <w:rPr>
                <w:rFonts w:asciiTheme="minorHAnsi" w:hAnsiTheme="minorHAnsi" w:cstheme="minorHAnsi"/>
              </w:rPr>
              <w:t>p</w:t>
            </w:r>
            <w:r w:rsidRPr="00B7152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712" w:type="dxa"/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</w:rPr>
              <w:t xml:space="preserve">What are the major connections students will make between their learning in this course and the real world and/or </w:t>
            </w:r>
            <w:r w:rsidR="004506A8" w:rsidRPr="00B71529">
              <w:rPr>
                <w:rFonts w:asciiTheme="minorHAnsi" w:hAnsiTheme="minorHAnsi" w:cstheme="minorHAnsi"/>
              </w:rPr>
              <w:t xml:space="preserve">other </w:t>
            </w:r>
            <w:r w:rsidRPr="00B71529">
              <w:rPr>
                <w:rFonts w:asciiTheme="minorHAnsi" w:hAnsiTheme="minorHAnsi" w:cstheme="minorHAnsi"/>
              </w:rPr>
              <w:t>content areas?</w:t>
            </w:r>
          </w:p>
        </w:tc>
      </w:tr>
      <w:tr w:rsidR="005F1625" w:rsidRPr="00F426B0" w:rsidTr="00B30CFF"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  <w:b/>
              </w:rPr>
              <w:t xml:space="preserve">Possible </w:t>
            </w:r>
            <w:r w:rsidR="00B30CFF">
              <w:rPr>
                <w:rFonts w:asciiTheme="minorHAnsi" w:hAnsiTheme="minorHAnsi" w:cstheme="minorHAnsi"/>
                <w:b/>
              </w:rPr>
              <w:t>action v</w:t>
            </w:r>
            <w:r w:rsidRPr="00B71529">
              <w:rPr>
                <w:rFonts w:asciiTheme="minorHAnsi" w:hAnsiTheme="minorHAnsi" w:cstheme="minorHAnsi"/>
                <w:b/>
              </w:rPr>
              <w:t>erbs to use in this category when writing outcomes:</w:t>
            </w:r>
          </w:p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Describe</w:t>
            </w:r>
          </w:p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Identify</w:t>
            </w:r>
          </w:p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Explain</w:t>
            </w:r>
          </w:p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Define</w:t>
            </w:r>
          </w:p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Demonstrate</w:t>
            </w:r>
          </w:p>
          <w:p w:rsidR="0081563B" w:rsidRPr="00B71529" w:rsidRDefault="0081563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Generate</w:t>
            </w:r>
          </w:p>
          <w:p w:rsidR="00CF10BF" w:rsidRPr="00B71529" w:rsidRDefault="00CF10BF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Demonstrate</w:t>
            </w:r>
          </w:p>
          <w:p w:rsidR="00CF10BF" w:rsidRPr="00B71529" w:rsidRDefault="00014161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Design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Analyze</w:t>
            </w:r>
          </w:p>
          <w:p w:rsidR="00CF10BF" w:rsidRPr="00B71529" w:rsidRDefault="00014161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Build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Coordinate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Persuade</w:t>
            </w:r>
          </w:p>
          <w:p w:rsidR="00CF10BF" w:rsidRPr="00B71529" w:rsidRDefault="0003764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Formulate</w:t>
            </w:r>
          </w:p>
          <w:p w:rsidR="00CF10BF" w:rsidRPr="00B71529" w:rsidRDefault="0003764B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Evaluate</w:t>
            </w:r>
          </w:p>
          <w:p w:rsidR="007B6DD2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Organize</w:t>
            </w:r>
          </w:p>
          <w:p w:rsidR="00014161" w:rsidRPr="00B71529" w:rsidRDefault="00014161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Construct</w:t>
            </w:r>
          </w:p>
          <w:p w:rsidR="00014161" w:rsidRPr="004859E8" w:rsidRDefault="00014161" w:rsidP="00485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Differentiate</w:t>
            </w:r>
          </w:p>
        </w:tc>
        <w:tc>
          <w:tcPr>
            <w:tcW w:w="2712" w:type="dxa"/>
            <w:shd w:val="clear" w:color="auto" w:fill="auto"/>
          </w:tcPr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Integrate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Critique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Synthesize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Uncover </w:t>
            </w:r>
            <w:r w:rsidR="004506A8" w:rsidRPr="00B71529">
              <w:rPr>
                <w:rFonts w:asciiTheme="minorHAnsi" w:hAnsiTheme="minorHAnsi" w:cstheme="minorHAnsi"/>
              </w:rPr>
              <w:t>p</w:t>
            </w:r>
            <w:r w:rsidRPr="00B71529">
              <w:rPr>
                <w:rFonts w:asciiTheme="minorHAnsi" w:hAnsiTheme="minorHAnsi" w:cstheme="minorHAnsi"/>
              </w:rPr>
              <w:t>atterns</w:t>
            </w:r>
          </w:p>
          <w:p w:rsidR="00CF10BF" w:rsidRPr="00B71529" w:rsidRDefault="00CF10BF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Imagine</w:t>
            </w:r>
          </w:p>
          <w:p w:rsidR="00CF10BF" w:rsidRPr="00B71529" w:rsidRDefault="004506A8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Create</w:t>
            </w:r>
          </w:p>
          <w:p w:rsidR="00014161" w:rsidRPr="00B71529" w:rsidRDefault="00014161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Connect</w:t>
            </w:r>
          </w:p>
          <w:p w:rsidR="00014161" w:rsidRPr="00B71529" w:rsidRDefault="00014161" w:rsidP="003B74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Relate</w:t>
            </w:r>
          </w:p>
          <w:p w:rsidR="00B30CFF" w:rsidRDefault="00014161" w:rsidP="00B30C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Compare</w:t>
            </w:r>
          </w:p>
          <w:p w:rsidR="00014161" w:rsidRPr="00B71529" w:rsidRDefault="00014161" w:rsidP="00B30C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Contrast</w:t>
            </w:r>
          </w:p>
        </w:tc>
      </w:tr>
      <w:tr w:rsidR="005F1625" w:rsidRPr="00F426B0" w:rsidTr="00B30CFF">
        <w:tc>
          <w:tcPr>
            <w:tcW w:w="1581" w:type="dxa"/>
            <w:shd w:val="clear" w:color="auto" w:fill="auto"/>
          </w:tcPr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  <w:b/>
              </w:rPr>
              <w:t xml:space="preserve">Degree Qualifications Profile </w:t>
            </w:r>
            <w:r w:rsidR="00B71529" w:rsidRPr="00B71529">
              <w:rPr>
                <w:rFonts w:asciiTheme="minorHAnsi" w:hAnsiTheme="minorHAnsi" w:cstheme="minorHAnsi"/>
                <w:b/>
              </w:rPr>
              <w:t xml:space="preserve">(DQP) </w:t>
            </w:r>
            <w:r w:rsidRPr="00B71529">
              <w:rPr>
                <w:rFonts w:asciiTheme="minorHAnsi" w:hAnsiTheme="minorHAnsi" w:cstheme="minorHAnsi"/>
                <w:b/>
              </w:rPr>
              <w:t>possible linkages in this category</w:t>
            </w:r>
          </w:p>
        </w:tc>
        <w:tc>
          <w:tcPr>
            <w:tcW w:w="2506" w:type="dxa"/>
            <w:shd w:val="clear" w:color="auto" w:fill="auto"/>
          </w:tcPr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Specialized Knowledge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Broad, Integrative Knowledge 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Intellectual Skills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Applied Learning</w:t>
            </w:r>
          </w:p>
        </w:tc>
        <w:tc>
          <w:tcPr>
            <w:tcW w:w="2551" w:type="dxa"/>
            <w:shd w:val="clear" w:color="auto" w:fill="auto"/>
          </w:tcPr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Specialized Knowledge 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Broad, Integrative Knowledge </w:t>
            </w:r>
          </w:p>
          <w:p w:rsidR="00B71529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Intellectual Skills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Applied Learning </w:t>
            </w:r>
          </w:p>
          <w:p w:rsidR="0081563B" w:rsidRPr="00B71529" w:rsidRDefault="0081563B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Civic Learning</w:t>
            </w:r>
          </w:p>
        </w:tc>
        <w:tc>
          <w:tcPr>
            <w:tcW w:w="2712" w:type="dxa"/>
            <w:shd w:val="clear" w:color="auto" w:fill="auto"/>
          </w:tcPr>
          <w:p w:rsidR="00B71529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Specialized Knowledge </w:t>
            </w:r>
          </w:p>
          <w:p w:rsidR="00B71529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Broad, Integrative Knowledge</w:t>
            </w:r>
          </w:p>
          <w:p w:rsidR="00B71529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 Intellectual Skills</w:t>
            </w:r>
          </w:p>
          <w:p w:rsidR="00B71529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Applied Learning </w:t>
            </w:r>
          </w:p>
          <w:p w:rsidR="0081563B" w:rsidRPr="00B71529" w:rsidRDefault="00B71529" w:rsidP="00B7152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Civic Learning</w:t>
            </w:r>
          </w:p>
        </w:tc>
      </w:tr>
      <w:tr w:rsidR="005F1625" w:rsidRPr="00F426B0" w:rsidTr="00B30CFF"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7E3562" w:rsidRPr="00B71529" w:rsidRDefault="007E3562" w:rsidP="00F426B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B71529">
              <w:rPr>
                <w:rFonts w:asciiTheme="minorHAnsi" w:hAnsiTheme="minorHAnsi" w:cstheme="minorHAnsi"/>
                <w:b/>
              </w:rPr>
              <w:t>Additional Considerations – Types of possible assessments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8362A" w:rsidRPr="00B71529" w:rsidRDefault="007E3562" w:rsidP="003B7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5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Traditional k</w:t>
            </w:r>
            <w:r w:rsidR="00A8362A" w:rsidRPr="00B71529">
              <w:rPr>
                <w:rFonts w:asciiTheme="minorHAnsi" w:hAnsiTheme="minorHAnsi" w:cstheme="minorHAnsi"/>
              </w:rPr>
              <w:t>inds of paper and pencil test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5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Drill and oral questions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5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Other classroom assessment</w:t>
            </w:r>
          </w:p>
          <w:p w:rsidR="007E3562" w:rsidRPr="00B71529" w:rsidRDefault="00A8362A" w:rsidP="003B74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55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techniques(CATs)</w:t>
            </w:r>
          </w:p>
        </w:tc>
        <w:tc>
          <w:tcPr>
            <w:tcW w:w="2551" w:type="dxa"/>
            <w:shd w:val="clear" w:color="auto" w:fill="auto"/>
          </w:tcPr>
          <w:p w:rsidR="00A8362A" w:rsidRPr="00B71529" w:rsidRDefault="007E3562" w:rsidP="00F426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Have students do whatever </w:t>
            </w:r>
            <w:r w:rsidR="00A8362A" w:rsidRPr="00B71529">
              <w:rPr>
                <w:rFonts w:asciiTheme="minorHAnsi" w:hAnsiTheme="minorHAnsi" w:cstheme="minorHAnsi"/>
              </w:rPr>
              <w:t>you want them to learn to do.</w:t>
            </w:r>
          </w:p>
          <w:p w:rsidR="00A8362A" w:rsidRPr="00B71529" w:rsidRDefault="007E3562" w:rsidP="00F426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Then assess what they do with clear criteria and standar</w:t>
            </w:r>
            <w:r w:rsidR="00A8362A" w:rsidRPr="00B71529">
              <w:rPr>
                <w:rFonts w:asciiTheme="minorHAnsi" w:hAnsiTheme="minorHAnsi" w:cstheme="minorHAnsi"/>
              </w:rPr>
              <w:t>ds. This can be done via such things as: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Simulations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Demonstrations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Team projects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Case studies</w:t>
            </w:r>
          </w:p>
          <w:p w:rsidR="00A8362A" w:rsidRPr="00B71529" w:rsidRDefault="007E3562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Explication activit</w:t>
            </w:r>
            <w:r w:rsidR="00A8362A" w:rsidRPr="00B71529">
              <w:rPr>
                <w:rFonts w:asciiTheme="minorHAnsi" w:hAnsiTheme="minorHAnsi" w:cstheme="minorHAnsi"/>
              </w:rPr>
              <w:t>ies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Writing</w:t>
            </w:r>
          </w:p>
          <w:p w:rsidR="007E3562" w:rsidRPr="00B71529" w:rsidRDefault="007E3562" w:rsidP="003B74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288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Some classroom assessment techniques (CATs)</w:t>
            </w:r>
          </w:p>
        </w:tc>
        <w:tc>
          <w:tcPr>
            <w:tcW w:w="2712" w:type="dxa"/>
            <w:shd w:val="clear" w:color="auto" w:fill="auto"/>
          </w:tcPr>
          <w:p w:rsidR="00A8362A" w:rsidRPr="00B71529" w:rsidRDefault="007E3562" w:rsidP="00F426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Have students identify the interactions or relationships betwe</w:t>
            </w:r>
            <w:r w:rsidR="00A8362A" w:rsidRPr="00B71529">
              <w:rPr>
                <w:rFonts w:asciiTheme="minorHAnsi" w:hAnsiTheme="minorHAnsi" w:cstheme="minorHAnsi"/>
              </w:rPr>
              <w:t xml:space="preserve">en "X" and “Y" then assess the </w:t>
            </w:r>
            <w:r w:rsidRPr="00B71529">
              <w:rPr>
                <w:rFonts w:asciiTheme="minorHAnsi" w:hAnsiTheme="minorHAnsi" w:cstheme="minorHAnsi"/>
              </w:rPr>
              <w:t>clarity and exten</w:t>
            </w:r>
            <w:r w:rsidR="00A8362A" w:rsidRPr="00B71529">
              <w:rPr>
                <w:rFonts w:asciiTheme="minorHAnsi" w:hAnsiTheme="minorHAnsi" w:cstheme="minorHAnsi"/>
              </w:rPr>
              <w:t xml:space="preserve">t of </w:t>
            </w:r>
            <w:r w:rsidR="004859E8">
              <w:rPr>
                <w:rFonts w:asciiTheme="minorHAnsi" w:hAnsiTheme="minorHAnsi" w:cstheme="minorHAnsi"/>
              </w:rPr>
              <w:t>the integration</w:t>
            </w:r>
            <w:r w:rsidR="00A8362A" w:rsidRPr="00B71529">
              <w:rPr>
                <w:rFonts w:asciiTheme="minorHAnsi" w:hAnsiTheme="minorHAnsi" w:cstheme="minorHAnsi"/>
              </w:rPr>
              <w:t>.</w:t>
            </w:r>
          </w:p>
          <w:p w:rsidR="00A8362A" w:rsidRPr="00B71529" w:rsidRDefault="007E3562" w:rsidP="00F426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This can b</w:t>
            </w:r>
            <w:r w:rsidR="00A8362A" w:rsidRPr="00B71529">
              <w:rPr>
                <w:rFonts w:asciiTheme="minorHAnsi" w:hAnsiTheme="minorHAnsi" w:cstheme="minorHAnsi"/>
              </w:rPr>
              <w:t xml:space="preserve">e done via such activities as:  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Reflective writing</w:t>
            </w:r>
          </w:p>
          <w:p w:rsidR="00A8362A" w:rsidRPr="00B71529" w:rsidRDefault="007E3562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Incomplete but progress</w:t>
            </w:r>
            <w:r w:rsidR="00A8362A" w:rsidRPr="00B71529">
              <w:rPr>
                <w:rFonts w:asciiTheme="minorHAnsi" w:hAnsiTheme="minorHAnsi" w:cstheme="minorHAnsi"/>
              </w:rPr>
              <w:t>ive cases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Concept maps</w:t>
            </w:r>
          </w:p>
          <w:p w:rsidR="00A8362A" w:rsidRPr="00B71529" w:rsidRDefault="007E3562" w:rsidP="00F426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Some portions of pro</w:t>
            </w:r>
            <w:r w:rsidR="00A8362A" w:rsidRPr="00B71529">
              <w:rPr>
                <w:rFonts w:asciiTheme="minorHAnsi" w:hAnsiTheme="minorHAnsi" w:cstheme="minorHAnsi"/>
              </w:rPr>
              <w:t>blem-based learning apply here:</w:t>
            </w:r>
          </w:p>
          <w:p w:rsidR="00A8362A" w:rsidRPr="00B71529" w:rsidRDefault="007E3562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 xml:space="preserve">Interdisciplinary cases </w:t>
            </w:r>
          </w:p>
          <w:p w:rsidR="00A8362A" w:rsidRPr="00B71529" w:rsidRDefault="00A8362A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Capstone projects</w:t>
            </w:r>
          </w:p>
          <w:p w:rsidR="007E3562" w:rsidRPr="00B71529" w:rsidRDefault="007E3562" w:rsidP="003B74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71529">
              <w:rPr>
                <w:rFonts w:asciiTheme="minorHAnsi" w:hAnsiTheme="minorHAnsi" w:cstheme="minorHAnsi"/>
              </w:rPr>
              <w:t>Work on real-life examples</w:t>
            </w:r>
          </w:p>
        </w:tc>
      </w:tr>
    </w:tbl>
    <w:p w:rsidR="00A97F18" w:rsidRDefault="00A97F18" w:rsidP="00C51A4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591"/>
        <w:gridCol w:w="2446"/>
        <w:gridCol w:w="2732"/>
      </w:tblGrid>
      <w:tr w:rsidR="003E625F" w:rsidRPr="00B71529" w:rsidTr="005C49A0">
        <w:trPr>
          <w:trHeight w:val="375"/>
        </w:trPr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4859E8" w:rsidP="004859E8">
            <w:pPr>
              <w:spacing w:after="0" w:line="240" w:lineRule="auto"/>
              <w:contextualSpacing/>
              <w:jc w:val="center"/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Prompts to consider when writing outcomes…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1529">
              <w:rPr>
                <w:b/>
                <w:sz w:val="24"/>
                <w:szCs w:val="24"/>
              </w:rPr>
              <w:t>Human Dimension</w:t>
            </w:r>
          </w:p>
        </w:tc>
        <w:tc>
          <w:tcPr>
            <w:tcW w:w="2446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1529">
              <w:rPr>
                <w:b/>
                <w:sz w:val="24"/>
                <w:szCs w:val="24"/>
              </w:rPr>
              <w:t>Caring – Civic Learning</w:t>
            </w:r>
          </w:p>
        </w:tc>
        <w:tc>
          <w:tcPr>
            <w:tcW w:w="2732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71529">
              <w:rPr>
                <w:b/>
                <w:sz w:val="24"/>
                <w:szCs w:val="24"/>
              </w:rPr>
              <w:t>Learning How to Learn</w:t>
            </w:r>
          </w:p>
        </w:tc>
      </w:tr>
      <w:tr w:rsidR="003E625F" w:rsidRPr="00B71529" w:rsidTr="005C49A0">
        <w:trPr>
          <w:trHeight w:val="1380"/>
        </w:trPr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3E625F" w:rsidP="004859E8">
            <w:pPr>
              <w:spacing w:after="0" w:line="240" w:lineRule="auto"/>
              <w:contextualSpacing/>
              <w:rPr>
                <w:b/>
              </w:rPr>
            </w:pPr>
            <w:r w:rsidRPr="00B71529">
              <w:rPr>
                <w:b/>
              </w:rPr>
              <w:t>Questions to ask yourself when writing outcomes in this category: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t>What will students learn about themselves and others? What personal and social implications will they discover?</w:t>
            </w:r>
          </w:p>
        </w:tc>
        <w:tc>
          <w:tcPr>
            <w:tcW w:w="2446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t>What will students learn to care more deeply about? What purpose or meaning will they find?</w:t>
            </w:r>
          </w:p>
        </w:tc>
        <w:tc>
          <w:tcPr>
            <w:tcW w:w="2732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t>What will students discover about themselves as learners? In what ways will students take responsibility for their own learning?</w:t>
            </w:r>
          </w:p>
        </w:tc>
      </w:tr>
      <w:tr w:rsidR="003E625F" w:rsidRPr="00B71529" w:rsidTr="005C49A0">
        <w:trPr>
          <w:trHeight w:val="1380"/>
        </w:trPr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rPr>
                <w:b/>
              </w:rPr>
              <w:t>Possible Verbs to use in this category when writing outcomes in this category: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</w:p>
          <w:p w:rsidR="003E625F" w:rsidRPr="00B71529" w:rsidRDefault="003E625F" w:rsidP="005C49A0">
            <w:pPr>
              <w:spacing w:after="0" w:line="240" w:lineRule="auto"/>
              <w:contextualSpacing/>
            </w:pPr>
          </w:p>
          <w:p w:rsidR="003E625F" w:rsidRPr="00B71529" w:rsidRDefault="003E625F" w:rsidP="005C49A0">
            <w:pPr>
              <w:spacing w:after="0" w:line="240" w:lineRule="auto"/>
              <w:contextualSpacing/>
            </w:pP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Come to see themselves as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Decide to become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Interact with others regarding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</w:p>
        </w:tc>
        <w:tc>
          <w:tcPr>
            <w:tcW w:w="2446" w:type="dxa"/>
            <w:shd w:val="clear" w:color="auto" w:fill="auto"/>
          </w:tcPr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Engage with/in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Compare/relate ethical frameworks about</w:t>
            </w:r>
          </w:p>
          <w:p w:rsidR="003E625F" w:rsidRPr="00B71529" w:rsidRDefault="004859E8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 xml:space="preserve">Develops a position 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Connect with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Commit to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Take action on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Describe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Explain</w:t>
            </w:r>
          </w:p>
        </w:tc>
        <w:tc>
          <w:tcPr>
            <w:tcW w:w="2732" w:type="dxa"/>
            <w:shd w:val="clear" w:color="auto" w:fill="auto"/>
          </w:tcPr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Set own learning agenda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Create a learning plan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Frame useful questions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Direct learning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Interact constructively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Identify sources of information on</w:t>
            </w:r>
          </w:p>
          <w:p w:rsidR="003E625F" w:rsidRPr="00B71529" w:rsidRDefault="004859E8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Construct knowledge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 w:rsidRPr="00B71529">
              <w:t>Collaborate</w:t>
            </w:r>
          </w:p>
        </w:tc>
      </w:tr>
      <w:tr w:rsidR="003E625F" w:rsidRPr="00B71529" w:rsidTr="005C49A0">
        <w:tc>
          <w:tcPr>
            <w:tcW w:w="1581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rPr>
                <w:b/>
              </w:rPr>
              <w:t>Degree Qualifications Profile (DQP) possible linkages in this category</w:t>
            </w:r>
          </w:p>
        </w:tc>
        <w:tc>
          <w:tcPr>
            <w:tcW w:w="2591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Broad, Integrative Knowledge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>Intellectual Skills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>Applied Learning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>Civic Learning</w:t>
            </w:r>
          </w:p>
        </w:tc>
        <w:tc>
          <w:tcPr>
            <w:tcW w:w="2446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Broad, Integrative Knowledge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>Civic Learning</w:t>
            </w:r>
          </w:p>
        </w:tc>
        <w:tc>
          <w:tcPr>
            <w:tcW w:w="2732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Specialized Knowledge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Broad, Integrative Knowledge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Intellectual Skills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 xml:space="preserve">Applied Learning </w:t>
            </w:r>
          </w:p>
          <w:p w:rsidR="003E625F" w:rsidRPr="00B71529" w:rsidRDefault="003E625F" w:rsidP="005C49A0">
            <w:pPr>
              <w:spacing w:after="0" w:line="240" w:lineRule="auto"/>
              <w:contextualSpacing/>
            </w:pPr>
            <w:r w:rsidRPr="00B71529">
              <w:t>Civic Learning</w:t>
            </w:r>
          </w:p>
        </w:tc>
      </w:tr>
      <w:tr w:rsidR="003E625F" w:rsidRPr="00B71529" w:rsidTr="005C49A0">
        <w:tc>
          <w:tcPr>
            <w:tcW w:w="1581" w:type="dxa"/>
            <w:shd w:val="clear" w:color="auto" w:fill="auto"/>
          </w:tcPr>
          <w:p w:rsidR="003E625F" w:rsidRPr="00B71529" w:rsidRDefault="003E625F" w:rsidP="005C49A0">
            <w:pPr>
              <w:spacing w:after="0" w:line="240" w:lineRule="auto"/>
              <w:contextualSpacing/>
              <w:rPr>
                <w:b/>
              </w:rPr>
            </w:pPr>
            <w:r w:rsidRPr="00B71529">
              <w:rPr>
                <w:b/>
              </w:rPr>
              <w:t>Additional Considerations – Types of possible assessments</w:t>
            </w:r>
          </w:p>
        </w:tc>
        <w:tc>
          <w:tcPr>
            <w:tcW w:w="2591" w:type="dxa"/>
            <w:shd w:val="clear" w:color="auto" w:fill="auto"/>
          </w:tcPr>
          <w:p w:rsidR="003E625F" w:rsidRPr="00B71529" w:rsidRDefault="003E625F" w:rsidP="005C49A0">
            <w:pPr>
              <w:autoSpaceDE w:val="0"/>
              <w:autoSpaceDN w:val="0"/>
              <w:adjustRightInd w:val="0"/>
              <w:spacing w:after="0" w:line="240" w:lineRule="auto"/>
            </w:pPr>
            <w:r w:rsidRPr="00B71529">
              <w:t xml:space="preserve">This has two aspects: </w:t>
            </w:r>
          </w:p>
          <w:p w:rsidR="003E625F" w:rsidRDefault="003E625F" w:rsidP="005C49A0">
            <w:pPr>
              <w:autoSpaceDE w:val="0"/>
              <w:autoSpaceDN w:val="0"/>
              <w:adjustRightInd w:val="0"/>
              <w:spacing w:after="0" w:line="240" w:lineRule="auto"/>
            </w:pPr>
            <w:r>
              <w:t>P</w:t>
            </w:r>
            <w:r w:rsidRPr="00B71529">
              <w:t xml:space="preserve">ersonal </w:t>
            </w:r>
            <w:r>
              <w:t>D</w:t>
            </w:r>
            <w:r w:rsidRPr="00B71529">
              <w:t xml:space="preserve">imension (self) 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Personal reflections.</w:t>
            </w:r>
          </w:p>
          <w:p w:rsidR="003E625F" w:rsidRDefault="003E625F" w:rsidP="005C49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Standardized questionnaires on factors such as self-confidence can be completed before and after an a</w:t>
            </w:r>
            <w:r>
              <w:t>ctivity to measure a change</w:t>
            </w:r>
          </w:p>
          <w:p w:rsidR="003E625F" w:rsidRPr="00B71529" w:rsidRDefault="003E625F" w:rsidP="005C49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3E625F" w:rsidRPr="00B71529" w:rsidRDefault="003E625F" w:rsidP="005C49A0">
            <w:pPr>
              <w:autoSpaceDE w:val="0"/>
              <w:autoSpaceDN w:val="0"/>
              <w:adjustRightInd w:val="0"/>
              <w:spacing w:after="0" w:line="240" w:lineRule="auto"/>
            </w:pPr>
            <w:r>
              <w:t>S</w:t>
            </w:r>
            <w:r w:rsidRPr="00B71529">
              <w:t xml:space="preserve">ocial </w:t>
            </w:r>
            <w:r>
              <w:t>D</w:t>
            </w:r>
            <w:r w:rsidRPr="00B71529">
              <w:t>imension (others)</w:t>
            </w:r>
          </w:p>
          <w:p w:rsidR="003E625F" w:rsidRDefault="003E625F" w:rsidP="005C49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Personal reflections.</w:t>
            </w:r>
          </w:p>
          <w:p w:rsidR="003E625F" w:rsidRDefault="003E625F" w:rsidP="005C49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Team </w:t>
            </w:r>
            <w:r w:rsidRPr="00B71529">
              <w:t>member</w:t>
            </w:r>
            <w:r>
              <w:t xml:space="preserve"> reflections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Learn</w:t>
            </w:r>
            <w:r>
              <w:t>ing portfolios can address both</w:t>
            </w:r>
          </w:p>
        </w:tc>
        <w:tc>
          <w:tcPr>
            <w:tcW w:w="2446" w:type="dxa"/>
            <w:shd w:val="clear" w:color="auto" w:fill="auto"/>
          </w:tcPr>
          <w:p w:rsidR="003E625F" w:rsidRPr="00B71529" w:rsidRDefault="003E625F" w:rsidP="005C49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Personal reflections.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Standardize questionnaires, for example, about interests, attitudes, or values.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Learning portfolios.</w:t>
            </w:r>
          </w:p>
        </w:tc>
        <w:tc>
          <w:tcPr>
            <w:tcW w:w="2732" w:type="dxa"/>
            <w:shd w:val="clear" w:color="auto" w:fill="auto"/>
          </w:tcPr>
          <w:p w:rsidR="003E625F" w:rsidRPr="00B71529" w:rsidRDefault="003E625F" w:rsidP="005C49A0">
            <w:pPr>
              <w:autoSpaceDE w:val="0"/>
              <w:autoSpaceDN w:val="0"/>
              <w:adjustRightInd w:val="0"/>
              <w:spacing w:after="0" w:line="240" w:lineRule="auto"/>
            </w:pPr>
            <w:r w:rsidRPr="00B71529">
              <w:t>Personal reflections. Usually gathered after learning activity or the whole course, these can be generated in writing, class discussions, online exchanges, learning portfolios, or even in: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Small Group Instructional Diagnoses.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Learning portfolios.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Performance in problem-based learning.</w:t>
            </w:r>
          </w:p>
          <w:p w:rsidR="003E625F" w:rsidRPr="00B71529" w:rsidRDefault="003E625F" w:rsidP="005C49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B71529">
              <w:t>Case problems about learning: Learning something new; document procedures used in the results.</w:t>
            </w:r>
          </w:p>
        </w:tc>
      </w:tr>
    </w:tbl>
    <w:p w:rsidR="003E625F" w:rsidRDefault="003E625F" w:rsidP="00C51A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Including the General Education Outcomes as Course Learning Outcomes…</w:t>
      </w:r>
    </w:p>
    <w:p w:rsidR="003C3624" w:rsidRDefault="003E625F" w:rsidP="00C51A41">
      <w:pP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</w:pPr>
      <w:r>
        <w:rPr>
          <w:i/>
          <w:sz w:val="24"/>
          <w:szCs w:val="24"/>
        </w:rPr>
        <w:t>Course</w:t>
      </w:r>
      <w:r w:rsidR="00862B3C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 w:rsidRPr="003E625F">
        <w:rPr>
          <w:i/>
          <w:sz w:val="24"/>
          <w:szCs w:val="24"/>
        </w:rPr>
        <w:t xml:space="preserve">that support a general education outcome must provide evidence of that support in the course learning outcomes.  </w:t>
      </w:r>
      <w:r w:rsidRPr="003E625F">
        <w:rPr>
          <w:rFonts w:asciiTheme="minorHAnsi" w:hAnsiTheme="minorHAnsi" w:cstheme="minorHAnsi"/>
          <w:i/>
          <w:sz w:val="24"/>
          <w:szCs w:val="24"/>
        </w:rPr>
        <w:t xml:space="preserve">The General Education </w:t>
      </w:r>
      <w:r>
        <w:rPr>
          <w:rFonts w:asciiTheme="minorHAnsi" w:hAnsiTheme="minorHAnsi" w:cstheme="minorHAnsi"/>
          <w:i/>
          <w:sz w:val="24"/>
          <w:szCs w:val="24"/>
        </w:rPr>
        <w:t xml:space="preserve">Outcomes </w:t>
      </w:r>
      <w:r w:rsidRPr="003E625F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are extremely broad</w:t>
      </w:r>
      <w: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 and are designed to be supported across the curriculum.  They </w:t>
      </w:r>
      <w:r w:rsidRPr="003E625F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express very general skills students are expected to have after taking </w:t>
      </w:r>
      <w: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their courses</w:t>
      </w:r>
      <w:r w:rsidRPr="003E625F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. The outcome you </w:t>
      </w:r>
      <w: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identify </w:t>
      </w:r>
      <w:r w:rsidRPr="003E625F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will be specific to the course</w:t>
      </w:r>
      <w: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 and more specific to how students are expected to use the skill in this course</w:t>
      </w:r>
      <w:r w:rsidRPr="003E625F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  For the outcome you craft make sure to link it to the general education outcome it is aligned with by putting the name after your statement in parentheses.  For instance,</w:t>
      </w:r>
    </w:p>
    <w:p w:rsidR="003E625F" w:rsidRPr="003C3624" w:rsidRDefault="003C3624" w:rsidP="003C3624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</w:pPr>
      <w:r w:rsidRPr="00E077BD">
        <w:rPr>
          <w:rFonts w:asciiTheme="majorHAnsi" w:eastAsia="Times New Roman" w:hAnsiTheme="majorHAnsi" w:cstheme="minorHAnsi"/>
          <w:color w:val="222222"/>
        </w:rPr>
        <w:t xml:space="preserve">Students will analyze and evaluate an author’s use of rhetorical techniques and their effects on </w:t>
      </w:r>
      <w:r>
        <w:rPr>
          <w:rFonts w:asciiTheme="majorHAnsi" w:eastAsia="Times New Roman" w:hAnsiTheme="majorHAnsi" w:cstheme="minorHAnsi"/>
          <w:color w:val="222222"/>
        </w:rPr>
        <w:t>readers (Critical Thinking)</w:t>
      </w:r>
    </w:p>
    <w:p w:rsidR="000D2F00" w:rsidRPr="003E625F" w:rsidRDefault="00123149" w:rsidP="000D2F00">
      <w:pPr>
        <w:rPr>
          <w:b/>
          <w:sz w:val="24"/>
          <w:szCs w:val="24"/>
        </w:rPr>
      </w:pPr>
      <w:r w:rsidRPr="003E625F">
        <w:rPr>
          <w:b/>
          <w:sz w:val="24"/>
          <w:szCs w:val="24"/>
        </w:rPr>
        <w:t>Examples of course outcomes for Cultural Perspectives</w:t>
      </w:r>
      <w:r w:rsidR="00862B3C">
        <w:rPr>
          <w:b/>
          <w:sz w:val="24"/>
          <w:szCs w:val="24"/>
        </w:rPr>
        <w:t>/Diversity</w:t>
      </w:r>
      <w:r w:rsidRPr="003E625F">
        <w:rPr>
          <w:b/>
          <w:sz w:val="24"/>
          <w:szCs w:val="24"/>
        </w:rPr>
        <w:t>…</w:t>
      </w:r>
    </w:p>
    <w:p w:rsidR="00123149" w:rsidRPr="003E625F" w:rsidRDefault="00123149" w:rsidP="000D2F00">
      <w:pPr>
        <w:rPr>
          <w:b/>
          <w:i/>
          <w:sz w:val="24"/>
          <w:szCs w:val="24"/>
        </w:rPr>
      </w:pPr>
      <w:r w:rsidRPr="003E625F">
        <w:rPr>
          <w:i/>
          <w:sz w:val="24"/>
          <w:szCs w:val="24"/>
        </w:rPr>
        <w:t>These examples are illustrative of the definition</w:t>
      </w:r>
      <w:r w:rsidR="000D2F00" w:rsidRPr="003E625F">
        <w:rPr>
          <w:i/>
          <w:sz w:val="24"/>
          <w:szCs w:val="24"/>
        </w:rPr>
        <w:t xml:space="preserve"> and try to </w:t>
      </w:r>
      <w:r w:rsidRPr="003E625F">
        <w:rPr>
          <w:i/>
          <w:sz w:val="24"/>
          <w:szCs w:val="24"/>
        </w:rPr>
        <w:t xml:space="preserve">put the definition in context.  </w:t>
      </w:r>
      <w:r w:rsidR="00862B3C">
        <w:rPr>
          <w:i/>
          <w:sz w:val="24"/>
          <w:szCs w:val="24"/>
        </w:rPr>
        <w:t xml:space="preserve">Consider using one or more of </w:t>
      </w:r>
      <w:r w:rsidRPr="003E625F">
        <w:rPr>
          <w:i/>
          <w:sz w:val="24"/>
          <w:szCs w:val="24"/>
        </w:rPr>
        <w:t xml:space="preserve">the </w:t>
      </w:r>
      <w:r w:rsidR="00862B3C">
        <w:rPr>
          <w:i/>
          <w:sz w:val="24"/>
          <w:szCs w:val="24"/>
        </w:rPr>
        <w:t>s</w:t>
      </w:r>
      <w:r w:rsidRPr="003E625F">
        <w:rPr>
          <w:i/>
          <w:sz w:val="24"/>
          <w:szCs w:val="24"/>
        </w:rPr>
        <w:t xml:space="preserve">tatements below </w:t>
      </w:r>
      <w:r w:rsidR="000D2F00" w:rsidRPr="003E625F">
        <w:rPr>
          <w:i/>
          <w:sz w:val="24"/>
          <w:szCs w:val="24"/>
        </w:rPr>
        <w:t xml:space="preserve">to identify a </w:t>
      </w:r>
      <w:r w:rsidRPr="003E625F">
        <w:rPr>
          <w:i/>
          <w:sz w:val="24"/>
          <w:szCs w:val="24"/>
        </w:rPr>
        <w:t>course outcome</w:t>
      </w:r>
      <w:r w:rsidR="000D2F00" w:rsidRPr="003E625F">
        <w:rPr>
          <w:i/>
          <w:sz w:val="24"/>
          <w:szCs w:val="24"/>
        </w:rPr>
        <w:t>(</w:t>
      </w:r>
      <w:r w:rsidRPr="003E625F">
        <w:rPr>
          <w:i/>
          <w:sz w:val="24"/>
          <w:szCs w:val="24"/>
        </w:rPr>
        <w:t>s</w:t>
      </w:r>
      <w:r w:rsidR="000D2F00" w:rsidRPr="003E625F">
        <w:rPr>
          <w:i/>
          <w:sz w:val="24"/>
          <w:szCs w:val="24"/>
        </w:rPr>
        <w:t>)</w:t>
      </w:r>
      <w:r w:rsidRPr="003E625F">
        <w:rPr>
          <w:i/>
          <w:sz w:val="24"/>
          <w:szCs w:val="24"/>
        </w:rPr>
        <w:t xml:space="preserve"> related to Cultural Perspectives</w:t>
      </w:r>
      <w:r w:rsidR="00862B3C">
        <w:rPr>
          <w:i/>
          <w:sz w:val="24"/>
          <w:szCs w:val="24"/>
        </w:rPr>
        <w:t>/Diversity</w:t>
      </w:r>
      <w:r w:rsidRPr="003E625F">
        <w:rPr>
          <w:i/>
          <w:sz w:val="24"/>
          <w:szCs w:val="24"/>
        </w:rPr>
        <w:t xml:space="preserve"> or craft an original outcome.  Keep in mind that outcomes </w:t>
      </w:r>
      <w:r w:rsidR="000D2F00" w:rsidRPr="003E625F">
        <w:rPr>
          <w:i/>
          <w:sz w:val="24"/>
          <w:szCs w:val="24"/>
        </w:rPr>
        <w:t xml:space="preserve">must have an identifiable </w:t>
      </w:r>
      <w:r w:rsidRPr="003E625F">
        <w:rPr>
          <w:i/>
          <w:sz w:val="24"/>
          <w:szCs w:val="24"/>
        </w:rPr>
        <w:t>assess</w:t>
      </w:r>
      <w:r w:rsidR="000D2F00" w:rsidRPr="003E625F">
        <w:rPr>
          <w:i/>
          <w:sz w:val="24"/>
          <w:szCs w:val="24"/>
        </w:rPr>
        <w:t xml:space="preserve">ment with which results and action plans for improvement are documented.  </w:t>
      </w:r>
    </w:p>
    <w:p w:rsidR="00807CB0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Evaluate how diverse cultu</w:t>
      </w:r>
      <w:r w:rsidR="00734ED3">
        <w:rPr>
          <w:sz w:val="24"/>
          <w:szCs w:val="24"/>
        </w:rPr>
        <w:t>ral perspectives</w:t>
      </w:r>
      <w:r w:rsidRPr="003E625F">
        <w:rPr>
          <w:sz w:val="24"/>
          <w:szCs w:val="24"/>
        </w:rPr>
        <w:t xml:space="preserve"> im</w:t>
      </w:r>
      <w:r w:rsidR="00807CB0" w:rsidRPr="003E625F">
        <w:rPr>
          <w:sz w:val="24"/>
          <w:szCs w:val="24"/>
        </w:rPr>
        <w:t>pact a discipline or profession</w:t>
      </w:r>
    </w:p>
    <w:p w:rsidR="00123149" w:rsidRPr="003E625F" w:rsidRDefault="00807CB0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 xml:space="preserve"> </w:t>
      </w:r>
      <w:r w:rsidR="00123149" w:rsidRPr="003E625F">
        <w:rPr>
          <w:sz w:val="24"/>
          <w:szCs w:val="24"/>
        </w:rPr>
        <w:t>Evaluate the interrelationships of cultures and the i</w:t>
      </w:r>
      <w:r w:rsidRPr="003E625F">
        <w:rPr>
          <w:sz w:val="24"/>
          <w:szCs w:val="24"/>
        </w:rPr>
        <w:t>mportance of the global context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Analyze how the behavior of individuals, groups, and nations affect others politically, economically, environmentally,</w:t>
      </w:r>
      <w:r w:rsidR="00807CB0" w:rsidRPr="003E625F">
        <w:rPr>
          <w:sz w:val="24"/>
          <w:szCs w:val="24"/>
        </w:rPr>
        <w:t xml:space="preserve"> artistically, spiritually, etc.</w:t>
      </w:r>
      <w:r w:rsidRPr="003E625F">
        <w:rPr>
          <w:sz w:val="24"/>
          <w:szCs w:val="24"/>
        </w:rPr>
        <w:t xml:space="preserve"> 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Argue the root causes of global problems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Critique</w:t>
      </w:r>
      <w:r w:rsidR="00734ED3">
        <w:rPr>
          <w:sz w:val="24"/>
          <w:szCs w:val="24"/>
        </w:rPr>
        <w:t xml:space="preserve"> intra-national or international</w:t>
      </w:r>
      <w:r w:rsidRPr="003E625F">
        <w:rPr>
          <w:sz w:val="24"/>
          <w:szCs w:val="24"/>
        </w:rPr>
        <w:t xml:space="preserve"> societies in a comparative context and compare with one’s own society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Explore the influence of global forces and the connections to local and national economies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Interpret the artistic and cultural expressions of other</w:t>
      </w:r>
      <w:r w:rsidR="00734ED3">
        <w:rPr>
          <w:sz w:val="24"/>
          <w:szCs w:val="24"/>
        </w:rPr>
        <w:t>s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sz w:val="24"/>
          <w:szCs w:val="24"/>
        </w:rPr>
        <w:t>Integrate knowledge about other cultures into a coherent and inclusive worldview</w:t>
      </w:r>
    </w:p>
    <w:p w:rsidR="00123149" w:rsidRPr="003E625F" w:rsidRDefault="00123149" w:rsidP="003E625F">
      <w:pPr>
        <w:pStyle w:val="NoSpacing"/>
        <w:numPr>
          <w:ilvl w:val="0"/>
          <w:numId w:val="3"/>
        </w:numPr>
        <w:ind w:left="540"/>
        <w:contextualSpacing/>
        <w:rPr>
          <w:sz w:val="24"/>
          <w:szCs w:val="24"/>
        </w:rPr>
      </w:pPr>
      <w:r w:rsidRPr="003E625F">
        <w:rPr>
          <w:rFonts w:cs="TimesNewRomanPSMT"/>
          <w:sz w:val="24"/>
          <w:szCs w:val="24"/>
        </w:rPr>
        <w:t>Evaluate how knowledge from different cultural perspectives would affect interpretations of prominent problems in politics, society, t</w:t>
      </w:r>
      <w:r w:rsidR="00807CB0" w:rsidRPr="003E625F">
        <w:rPr>
          <w:rFonts w:cs="TimesNewRomanPSMT"/>
          <w:sz w:val="24"/>
          <w:szCs w:val="24"/>
        </w:rPr>
        <w:t>he arts and</w:t>
      </w:r>
      <w:r w:rsidR="00734ED3">
        <w:rPr>
          <w:rFonts w:cs="TimesNewRomanPSMT"/>
          <w:sz w:val="24"/>
          <w:szCs w:val="24"/>
        </w:rPr>
        <w:t xml:space="preserve"> other </w:t>
      </w:r>
      <w:r w:rsidR="00807CB0" w:rsidRPr="003E625F">
        <w:rPr>
          <w:rFonts w:cs="TimesNewRomanPSMT"/>
          <w:sz w:val="24"/>
          <w:szCs w:val="24"/>
        </w:rPr>
        <w:t>relations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t>Identif</w:t>
      </w:r>
      <w:r w:rsidR="00807CB0" w:rsidRPr="003E625F">
        <w:rPr>
          <w:rFonts w:cs="TimesNewRomanPSMT"/>
          <w:sz w:val="24"/>
          <w:szCs w:val="24"/>
        </w:rPr>
        <w:t>y c</w:t>
      </w:r>
      <w:r w:rsidRPr="003E625F">
        <w:rPr>
          <w:rFonts w:cs="TimesNewRomanPSMT"/>
          <w:sz w:val="24"/>
          <w:szCs w:val="24"/>
        </w:rPr>
        <w:t>onnections between an individual’s personal decision-making and local</w:t>
      </w:r>
      <w:r w:rsidR="00734ED3">
        <w:rPr>
          <w:rFonts w:cs="TimesNewRomanPSMT"/>
          <w:sz w:val="24"/>
          <w:szCs w:val="24"/>
        </w:rPr>
        <w:t xml:space="preserve">, national </w:t>
      </w:r>
      <w:r w:rsidRPr="003E625F">
        <w:rPr>
          <w:rFonts w:cs="TimesNewRomanPSMT"/>
          <w:sz w:val="24"/>
          <w:szCs w:val="24"/>
        </w:rPr>
        <w:t>and global issues.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t>Analyze ways that human actions influe</w:t>
      </w:r>
      <w:r w:rsidR="00807CB0" w:rsidRPr="003E625F">
        <w:rPr>
          <w:rFonts w:cs="TimesNewRomanPSMT"/>
          <w:sz w:val="24"/>
          <w:szCs w:val="24"/>
        </w:rPr>
        <w:t>nce the natural and human world</w:t>
      </w:r>
      <w:r w:rsidRPr="003E625F">
        <w:rPr>
          <w:rFonts w:cs="TimesNewRomanPSMT"/>
          <w:sz w:val="24"/>
          <w:szCs w:val="24"/>
        </w:rPr>
        <w:t xml:space="preserve">  </w:t>
      </w:r>
    </w:p>
    <w:p w:rsidR="00734ED3" w:rsidRDefault="00123149" w:rsidP="00E87B7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734ED3">
        <w:rPr>
          <w:rFonts w:cs="TimesNewRomanPSMT"/>
          <w:sz w:val="24"/>
          <w:szCs w:val="24"/>
        </w:rPr>
        <w:t>Describe the experiences of others historically or in contemporary contexts primarily th</w:t>
      </w:r>
      <w:r w:rsidR="00734ED3">
        <w:rPr>
          <w:rFonts w:cs="TimesNewRomanPSMT"/>
          <w:sz w:val="24"/>
          <w:szCs w:val="24"/>
        </w:rPr>
        <w:t>rough one cultural perspective</w:t>
      </w:r>
    </w:p>
    <w:p w:rsidR="00123149" w:rsidRPr="00734ED3" w:rsidRDefault="00123149" w:rsidP="00E87B7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734ED3">
        <w:rPr>
          <w:rFonts w:cs="TimesNewRomanPSMT"/>
          <w:sz w:val="24"/>
          <w:szCs w:val="24"/>
        </w:rPr>
        <w:t>Identif</w:t>
      </w:r>
      <w:r w:rsidR="00807CB0" w:rsidRPr="00734ED3">
        <w:rPr>
          <w:rFonts w:cs="TimesNewRomanPSMT"/>
          <w:sz w:val="24"/>
          <w:szCs w:val="24"/>
        </w:rPr>
        <w:t>y</w:t>
      </w:r>
      <w:r w:rsidRPr="00734ED3">
        <w:rPr>
          <w:rFonts w:cs="TimesNewRomanPSMT"/>
          <w:sz w:val="24"/>
          <w:szCs w:val="24"/>
        </w:rPr>
        <w:t xml:space="preserve"> the basic role of some global and local institutions, ideas, and processes in the human and natural worlds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t xml:space="preserve">Examine the historical and contemporary roles, interconnections, and differential effects of human organizations and actions on </w:t>
      </w:r>
      <w:r w:rsidR="006460CD">
        <w:rPr>
          <w:rFonts w:cs="TimesNewRomanPSMT"/>
          <w:sz w:val="24"/>
          <w:szCs w:val="24"/>
        </w:rPr>
        <w:t xml:space="preserve">local, national, or </w:t>
      </w:r>
      <w:r w:rsidRPr="003E625F">
        <w:rPr>
          <w:rFonts w:cs="TimesNewRomanPSMT"/>
          <w:sz w:val="24"/>
          <w:szCs w:val="24"/>
        </w:rPr>
        <w:t>global systems within t</w:t>
      </w:r>
      <w:r w:rsidR="00807CB0" w:rsidRPr="003E625F">
        <w:rPr>
          <w:rFonts w:cs="TimesNewRomanPSMT"/>
          <w:sz w:val="24"/>
          <w:szCs w:val="24"/>
        </w:rPr>
        <w:t>he human and the natural worlds</w:t>
      </w:r>
    </w:p>
    <w:p w:rsidR="00123149" w:rsidRPr="003E625F" w:rsidRDefault="00807CB0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lastRenderedPageBreak/>
        <w:t>Analyze</w:t>
      </w:r>
      <w:r w:rsidR="00123149" w:rsidRPr="003E625F">
        <w:rPr>
          <w:rFonts w:cs="TimesNewRomanPSMT"/>
          <w:sz w:val="24"/>
          <w:szCs w:val="24"/>
        </w:rPr>
        <w:t xml:space="preserve"> major elements of global systems, including their historic and contemporary interconnections and the differential effects of human organizations and actions, to pose solutions to complex problems </w:t>
      </w:r>
      <w:r w:rsidRPr="003E625F">
        <w:rPr>
          <w:rFonts w:cs="TimesNewRomanPSMT"/>
          <w:sz w:val="24"/>
          <w:szCs w:val="24"/>
        </w:rPr>
        <w:t>in the human and natural worlds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t xml:space="preserve">Define global challenges in basic ways, including </w:t>
      </w:r>
      <w:r w:rsidR="00807CB0" w:rsidRPr="003E625F">
        <w:rPr>
          <w:rFonts w:cs="TimesNewRomanPSMT"/>
          <w:sz w:val="24"/>
          <w:szCs w:val="24"/>
        </w:rPr>
        <w:t>multiple</w:t>
      </w:r>
      <w:r w:rsidRPr="003E625F">
        <w:rPr>
          <w:rFonts w:cs="TimesNewRomanPSMT"/>
          <w:sz w:val="24"/>
          <w:szCs w:val="24"/>
        </w:rPr>
        <w:t xml:space="preserve"> perspectives and solutions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="TimesNewRomanPSMT"/>
          <w:sz w:val="24"/>
          <w:szCs w:val="24"/>
        </w:rPr>
        <w:t>Formulate practical solutions to global challenges that use at least two disciplinary perspectives (such as cultur</w:t>
      </w:r>
      <w:r w:rsidR="00807CB0" w:rsidRPr="003E625F">
        <w:rPr>
          <w:rFonts w:cs="TimesNewRomanPSMT"/>
          <w:sz w:val="24"/>
          <w:szCs w:val="24"/>
        </w:rPr>
        <w:t>al, historical, and scientific)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sz w:val="24"/>
          <w:szCs w:val="24"/>
        </w:rPr>
        <w:t>Identify similarities among an</w:t>
      </w:r>
      <w:r w:rsidR="00807CB0" w:rsidRPr="003E625F">
        <w:rPr>
          <w:sz w:val="24"/>
          <w:szCs w:val="24"/>
        </w:rPr>
        <w:t>d differences between societies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sz w:val="24"/>
          <w:szCs w:val="24"/>
        </w:rPr>
        <w:t>Explain the impact of globa</w:t>
      </w:r>
      <w:r w:rsidR="00807CB0" w:rsidRPr="003E625F">
        <w:rPr>
          <w:sz w:val="24"/>
          <w:szCs w:val="24"/>
        </w:rPr>
        <w:t>lization on society and culture</w:t>
      </w:r>
      <w:r w:rsidR="006460CD">
        <w:rPr>
          <w:sz w:val="24"/>
          <w:szCs w:val="24"/>
        </w:rPr>
        <w:t>, domestically or internationally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sz w:val="24"/>
          <w:szCs w:val="24"/>
        </w:rPr>
        <w:t>Accurately describe behavior in differe</w:t>
      </w:r>
      <w:r w:rsidR="00807CB0" w:rsidRPr="003E625F">
        <w:rPr>
          <w:sz w:val="24"/>
          <w:szCs w:val="24"/>
        </w:rPr>
        <w:t>nt social and cultural contexts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theme="minorHAnsi"/>
          <w:sz w:val="24"/>
          <w:szCs w:val="24"/>
        </w:rPr>
        <w:t>Evaluate general</w:t>
      </w:r>
      <w:r w:rsidR="00807CB0" w:rsidRPr="003E625F">
        <w:rPr>
          <w:rFonts w:cstheme="minorHAnsi"/>
          <w:sz w:val="24"/>
          <w:szCs w:val="24"/>
        </w:rPr>
        <w:t>izations about cultural groups</w:t>
      </w:r>
    </w:p>
    <w:p w:rsidR="00123149" w:rsidRPr="003E625F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theme="minorHAnsi"/>
          <w:sz w:val="24"/>
          <w:szCs w:val="24"/>
        </w:rPr>
        <w:t>Analyze how cultural beliefs might affect</w:t>
      </w:r>
      <w:r w:rsidR="00807CB0" w:rsidRPr="003E625F">
        <w:rPr>
          <w:rFonts w:cstheme="minorHAnsi"/>
          <w:sz w:val="24"/>
          <w:szCs w:val="24"/>
        </w:rPr>
        <w:t xml:space="preserve"> communication across cultures</w:t>
      </w:r>
      <w:r w:rsidR="006460CD">
        <w:rPr>
          <w:rFonts w:cstheme="minorHAnsi"/>
          <w:sz w:val="24"/>
          <w:szCs w:val="24"/>
        </w:rPr>
        <w:t xml:space="preserve"> domestically or internationally</w:t>
      </w:r>
    </w:p>
    <w:p w:rsidR="00123149" w:rsidRPr="00582612" w:rsidRDefault="00123149" w:rsidP="003E625F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cs="TimesNewRomanPSMT"/>
          <w:sz w:val="24"/>
          <w:szCs w:val="24"/>
        </w:rPr>
      </w:pPr>
      <w:r w:rsidRPr="003E625F">
        <w:rPr>
          <w:rFonts w:cstheme="minorHAnsi"/>
          <w:sz w:val="24"/>
          <w:szCs w:val="24"/>
        </w:rPr>
        <w:t>Evaluate how specific approaches to global issues will affect multiple cultural communities</w:t>
      </w:r>
    </w:p>
    <w:p w:rsidR="00582612" w:rsidRDefault="00582612" w:rsidP="00582612">
      <w:pPr>
        <w:spacing w:after="0" w:line="240" w:lineRule="auto"/>
        <w:rPr>
          <w:rFonts w:cs="TimesNewRomanPSMT"/>
          <w:sz w:val="24"/>
          <w:szCs w:val="24"/>
        </w:rPr>
      </w:pPr>
    </w:p>
    <w:p w:rsidR="00582612" w:rsidRDefault="00582612" w:rsidP="00582612">
      <w:pPr>
        <w:spacing w:after="0" w:line="240" w:lineRule="auto"/>
        <w:rPr>
          <w:rFonts w:cs="TimesNewRomanPSMT"/>
          <w:b/>
          <w:sz w:val="32"/>
          <w:szCs w:val="32"/>
        </w:rPr>
      </w:pPr>
      <w:r w:rsidRPr="00582612">
        <w:rPr>
          <w:rFonts w:cs="TimesNewRomanPSMT"/>
          <w:b/>
          <w:sz w:val="32"/>
          <w:szCs w:val="32"/>
        </w:rPr>
        <w:t>Saving locally:</w:t>
      </w:r>
    </w:p>
    <w:p w:rsidR="00582612" w:rsidRDefault="00582612" w:rsidP="00582612">
      <w:pPr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First use the File&gt;Print option. At the Print dialog box select </w:t>
      </w:r>
      <w:r w:rsidR="00FE54B6">
        <w:rPr>
          <w:rFonts w:cs="TimesNewRomanPSMT"/>
          <w:sz w:val="24"/>
          <w:szCs w:val="24"/>
        </w:rPr>
        <w:t xml:space="preserve">Microsoft XPS Document Writer as the printer.  </w:t>
      </w:r>
      <w:r w:rsidR="00FE54B6" w:rsidRPr="005B2838">
        <w:rPr>
          <w:rFonts w:cs="TimesNewRomanPSMT"/>
          <w:b/>
          <w:sz w:val="24"/>
          <w:szCs w:val="24"/>
        </w:rPr>
        <w:t>Once saved in this format you will not be able to make changes.</w:t>
      </w:r>
    </w:p>
    <w:p w:rsidR="00582612" w:rsidRDefault="00582612" w:rsidP="00582612">
      <w:pPr>
        <w:spacing w:after="0" w:line="240" w:lineRule="auto"/>
        <w:rPr>
          <w:rFonts w:cs="TimesNewRomanPSMT"/>
          <w:sz w:val="24"/>
          <w:szCs w:val="24"/>
        </w:rPr>
      </w:pPr>
    </w:p>
    <w:p w:rsidR="00582612" w:rsidRDefault="00FE54B6" w:rsidP="00582612">
      <w:pPr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drawing>
          <wp:inline distT="0" distB="0" distL="0" distR="0">
            <wp:extent cx="5867400" cy="2407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12" w:rsidRDefault="00582612" w:rsidP="00582612">
      <w:pPr>
        <w:rPr>
          <w:rFonts w:cs="TimesNewRomanPSMT"/>
          <w:sz w:val="24"/>
          <w:szCs w:val="24"/>
        </w:rPr>
      </w:pPr>
    </w:p>
    <w:p w:rsidR="00582612" w:rsidRDefault="00582612" w:rsidP="00582612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After you click the OK button you will get the </w:t>
      </w:r>
      <w:r w:rsidR="00FE54B6">
        <w:rPr>
          <w:rFonts w:cs="TimesNewRomanPSMT"/>
          <w:sz w:val="24"/>
          <w:szCs w:val="24"/>
        </w:rPr>
        <w:t>“</w:t>
      </w:r>
      <w:r w:rsidRPr="00582612">
        <w:rPr>
          <w:rFonts w:cs="TimesNewRomanPSMT"/>
          <w:b/>
          <w:sz w:val="24"/>
          <w:szCs w:val="24"/>
        </w:rPr>
        <w:t xml:space="preserve">Save </w:t>
      </w:r>
      <w:r w:rsidR="00FE54B6">
        <w:rPr>
          <w:rFonts w:cs="TimesNewRomanPSMT"/>
          <w:b/>
          <w:sz w:val="24"/>
          <w:szCs w:val="24"/>
        </w:rPr>
        <w:t>the file as”</w:t>
      </w:r>
      <w:r>
        <w:rPr>
          <w:rFonts w:cs="TimesNewRomanPSMT"/>
          <w:sz w:val="24"/>
          <w:szCs w:val="24"/>
        </w:rPr>
        <w:t xml:space="preserve"> dialog box</w:t>
      </w:r>
      <w:r w:rsidR="002D2887">
        <w:rPr>
          <w:rFonts w:cs="TimesNewRomanPSMT"/>
          <w:sz w:val="24"/>
          <w:szCs w:val="24"/>
        </w:rPr>
        <w:t>, shown below</w:t>
      </w:r>
      <w:r>
        <w:rPr>
          <w:rFonts w:cs="TimesNewRomanPSMT"/>
          <w:sz w:val="24"/>
          <w:szCs w:val="24"/>
        </w:rPr>
        <w:t>. Now you can select the drive and folder where you want to save your document</w:t>
      </w:r>
      <w:r w:rsidR="005B2838">
        <w:rPr>
          <w:rFonts w:cs="TimesNewRomanPSMT"/>
          <w:sz w:val="24"/>
          <w:szCs w:val="24"/>
        </w:rPr>
        <w:t xml:space="preserve"> as well as the document name (ie: ACD 123)</w:t>
      </w:r>
      <w:r>
        <w:rPr>
          <w:rFonts w:cs="TimesNewRomanPSMT"/>
          <w:sz w:val="24"/>
          <w:szCs w:val="24"/>
        </w:rPr>
        <w:t xml:space="preserve">. Then click the </w:t>
      </w:r>
      <w:r w:rsidRPr="00582612">
        <w:rPr>
          <w:rFonts w:cs="TimesNewRomanPSMT"/>
          <w:b/>
          <w:sz w:val="24"/>
          <w:szCs w:val="24"/>
        </w:rPr>
        <w:t>Save</w:t>
      </w:r>
      <w:r>
        <w:rPr>
          <w:rFonts w:cs="TimesNewRomanPSMT"/>
          <w:sz w:val="24"/>
          <w:szCs w:val="24"/>
        </w:rPr>
        <w:t xml:space="preserve"> button to save your document.</w:t>
      </w:r>
    </w:p>
    <w:p w:rsidR="00582612" w:rsidRDefault="00582612" w:rsidP="00582612">
      <w:pPr>
        <w:rPr>
          <w:rFonts w:cs="TimesNewRomanPSMT"/>
          <w:sz w:val="24"/>
          <w:szCs w:val="24"/>
        </w:rPr>
      </w:pPr>
    </w:p>
    <w:p w:rsidR="00582612" w:rsidRPr="00582612" w:rsidRDefault="00FE54B6" w:rsidP="00582612">
      <w:pPr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lastRenderedPageBreak/>
        <w:drawing>
          <wp:inline distT="0" distB="0" distL="0" distR="0">
            <wp:extent cx="5859780" cy="4541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612" w:rsidRPr="00582612" w:rsidSect="00C51A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FF" w:rsidRDefault="00B30CFF" w:rsidP="00B30CFF">
      <w:pPr>
        <w:spacing w:after="0" w:line="240" w:lineRule="auto"/>
      </w:pPr>
      <w:r>
        <w:separator/>
      </w:r>
    </w:p>
  </w:endnote>
  <w:endnote w:type="continuationSeparator" w:id="0">
    <w:p w:rsidR="00B30CFF" w:rsidRDefault="00B30CFF" w:rsidP="00B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21614"/>
      <w:docPartObj>
        <w:docPartGallery w:val="Page Numbers (Bottom of Page)"/>
        <w:docPartUnique/>
      </w:docPartObj>
    </w:sdtPr>
    <w:sdtEndPr/>
    <w:sdtContent>
      <w:p w:rsidR="00B30CFF" w:rsidRDefault="00B30CF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2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30CFF" w:rsidRDefault="00B3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FF" w:rsidRDefault="00B30CFF" w:rsidP="00B30CFF">
      <w:pPr>
        <w:spacing w:after="0" w:line="240" w:lineRule="auto"/>
      </w:pPr>
      <w:r>
        <w:separator/>
      </w:r>
    </w:p>
  </w:footnote>
  <w:footnote w:type="continuationSeparator" w:id="0">
    <w:p w:rsidR="00B30CFF" w:rsidRDefault="00B30CFF" w:rsidP="00B3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2D8"/>
    <w:multiLevelType w:val="hybridMultilevel"/>
    <w:tmpl w:val="1D6E4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53706"/>
    <w:multiLevelType w:val="hybridMultilevel"/>
    <w:tmpl w:val="2104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6353D"/>
    <w:multiLevelType w:val="hybridMultilevel"/>
    <w:tmpl w:val="EF60C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E0E0F"/>
    <w:multiLevelType w:val="hybridMultilevel"/>
    <w:tmpl w:val="67F2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2FD7"/>
    <w:multiLevelType w:val="hybridMultilevel"/>
    <w:tmpl w:val="0806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1DC"/>
    <w:multiLevelType w:val="hybridMultilevel"/>
    <w:tmpl w:val="951C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D65031"/>
    <w:multiLevelType w:val="hybridMultilevel"/>
    <w:tmpl w:val="5C78D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80480"/>
    <w:multiLevelType w:val="hybridMultilevel"/>
    <w:tmpl w:val="3A5AF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E6DA3"/>
    <w:multiLevelType w:val="multilevel"/>
    <w:tmpl w:val="C5B68968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9">
    <w:nsid w:val="3D400CC7"/>
    <w:multiLevelType w:val="hybridMultilevel"/>
    <w:tmpl w:val="74D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44815"/>
    <w:multiLevelType w:val="hybridMultilevel"/>
    <w:tmpl w:val="10B67F0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39C4A02"/>
    <w:multiLevelType w:val="hybridMultilevel"/>
    <w:tmpl w:val="DC2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9E2"/>
    <w:multiLevelType w:val="hybridMultilevel"/>
    <w:tmpl w:val="CF848594"/>
    <w:lvl w:ilvl="0" w:tplc="F0BC03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5B71CAC"/>
    <w:multiLevelType w:val="hybridMultilevel"/>
    <w:tmpl w:val="3A5AF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F34DB"/>
    <w:multiLevelType w:val="hybridMultilevel"/>
    <w:tmpl w:val="EA24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976557"/>
    <w:multiLevelType w:val="multilevel"/>
    <w:tmpl w:val="0A105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F7204"/>
    <w:multiLevelType w:val="multilevel"/>
    <w:tmpl w:val="C5B68968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36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7">
    <w:nsid w:val="60FF6A93"/>
    <w:multiLevelType w:val="hybridMultilevel"/>
    <w:tmpl w:val="C53C3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F736A2"/>
    <w:multiLevelType w:val="hybridMultilevel"/>
    <w:tmpl w:val="3C588742"/>
    <w:lvl w:ilvl="0" w:tplc="0409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6C607B3A"/>
    <w:multiLevelType w:val="hybridMultilevel"/>
    <w:tmpl w:val="45B8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6B5F"/>
    <w:multiLevelType w:val="hybridMultilevel"/>
    <w:tmpl w:val="E19A4D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9C1BCE"/>
    <w:multiLevelType w:val="multilevel"/>
    <w:tmpl w:val="C166FE7C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3"/>
  </w:num>
  <w:num w:numId="17">
    <w:abstractNumId w:val="13"/>
  </w:num>
  <w:num w:numId="18">
    <w:abstractNumId w:val="21"/>
  </w:num>
  <w:num w:numId="19">
    <w:abstractNumId w:val="8"/>
  </w:num>
  <w:num w:numId="20">
    <w:abstractNumId w:val="16"/>
  </w:num>
  <w:num w:numId="21">
    <w:abstractNumId w:val="15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31"/>
    <w:rsid w:val="000017A9"/>
    <w:rsid w:val="00014161"/>
    <w:rsid w:val="00017630"/>
    <w:rsid w:val="0003764B"/>
    <w:rsid w:val="000442E4"/>
    <w:rsid w:val="00065DBD"/>
    <w:rsid w:val="000A3B10"/>
    <w:rsid w:val="000C3BA7"/>
    <w:rsid w:val="000C5C18"/>
    <w:rsid w:val="000D0CE9"/>
    <w:rsid w:val="000D2F00"/>
    <w:rsid w:val="0012166A"/>
    <w:rsid w:val="00123149"/>
    <w:rsid w:val="00131D81"/>
    <w:rsid w:val="001668C5"/>
    <w:rsid w:val="00180E1B"/>
    <w:rsid w:val="001815CB"/>
    <w:rsid w:val="0018528D"/>
    <w:rsid w:val="00192BBD"/>
    <w:rsid w:val="00195060"/>
    <w:rsid w:val="001B0AC2"/>
    <w:rsid w:val="001B1693"/>
    <w:rsid w:val="001B4770"/>
    <w:rsid w:val="00220485"/>
    <w:rsid w:val="00232573"/>
    <w:rsid w:val="00237AB3"/>
    <w:rsid w:val="00261A7E"/>
    <w:rsid w:val="00262C96"/>
    <w:rsid w:val="00265070"/>
    <w:rsid w:val="002A6646"/>
    <w:rsid w:val="002C2E43"/>
    <w:rsid w:val="002D2887"/>
    <w:rsid w:val="00321AB4"/>
    <w:rsid w:val="0036551A"/>
    <w:rsid w:val="00396AEF"/>
    <w:rsid w:val="003B74B3"/>
    <w:rsid w:val="003C3624"/>
    <w:rsid w:val="003C4C25"/>
    <w:rsid w:val="003C543A"/>
    <w:rsid w:val="003E625F"/>
    <w:rsid w:val="003F3E1A"/>
    <w:rsid w:val="00422BE2"/>
    <w:rsid w:val="004301FB"/>
    <w:rsid w:val="00432921"/>
    <w:rsid w:val="004506A8"/>
    <w:rsid w:val="00472CC7"/>
    <w:rsid w:val="004859E8"/>
    <w:rsid w:val="00490EB1"/>
    <w:rsid w:val="004A587C"/>
    <w:rsid w:val="004A7525"/>
    <w:rsid w:val="004B40FC"/>
    <w:rsid w:val="004D3ED9"/>
    <w:rsid w:val="004D4B1F"/>
    <w:rsid w:val="004E149D"/>
    <w:rsid w:val="00517C7A"/>
    <w:rsid w:val="0053247B"/>
    <w:rsid w:val="00565A5B"/>
    <w:rsid w:val="00582612"/>
    <w:rsid w:val="0058635A"/>
    <w:rsid w:val="005970DC"/>
    <w:rsid w:val="005B2838"/>
    <w:rsid w:val="005D0F26"/>
    <w:rsid w:val="005D55FA"/>
    <w:rsid w:val="005E553B"/>
    <w:rsid w:val="005F1625"/>
    <w:rsid w:val="005F49F9"/>
    <w:rsid w:val="006460CD"/>
    <w:rsid w:val="006708F6"/>
    <w:rsid w:val="00686CCE"/>
    <w:rsid w:val="00687617"/>
    <w:rsid w:val="006B25D6"/>
    <w:rsid w:val="006B3B46"/>
    <w:rsid w:val="006B4E4A"/>
    <w:rsid w:val="006D36AD"/>
    <w:rsid w:val="006D49D8"/>
    <w:rsid w:val="006F1332"/>
    <w:rsid w:val="0070220A"/>
    <w:rsid w:val="00710770"/>
    <w:rsid w:val="00734ED3"/>
    <w:rsid w:val="00736E2F"/>
    <w:rsid w:val="00755B9C"/>
    <w:rsid w:val="00767884"/>
    <w:rsid w:val="00776E32"/>
    <w:rsid w:val="007806C6"/>
    <w:rsid w:val="007A69F9"/>
    <w:rsid w:val="007B6DD2"/>
    <w:rsid w:val="007C53A2"/>
    <w:rsid w:val="007D061E"/>
    <w:rsid w:val="007D1417"/>
    <w:rsid w:val="007E3562"/>
    <w:rsid w:val="007F12BE"/>
    <w:rsid w:val="00803CE0"/>
    <w:rsid w:val="00807CB0"/>
    <w:rsid w:val="0081563B"/>
    <w:rsid w:val="00831616"/>
    <w:rsid w:val="008452C3"/>
    <w:rsid w:val="00862B3C"/>
    <w:rsid w:val="00882C39"/>
    <w:rsid w:val="00883BAA"/>
    <w:rsid w:val="008E4E31"/>
    <w:rsid w:val="008F13EC"/>
    <w:rsid w:val="008F3785"/>
    <w:rsid w:val="00911A8E"/>
    <w:rsid w:val="00926551"/>
    <w:rsid w:val="00944863"/>
    <w:rsid w:val="00945F4D"/>
    <w:rsid w:val="00956280"/>
    <w:rsid w:val="00963BD4"/>
    <w:rsid w:val="009727D5"/>
    <w:rsid w:val="0099753B"/>
    <w:rsid w:val="009B2D9F"/>
    <w:rsid w:val="009B6B21"/>
    <w:rsid w:val="009C043D"/>
    <w:rsid w:val="009D40C6"/>
    <w:rsid w:val="00A118B8"/>
    <w:rsid w:val="00A13BF1"/>
    <w:rsid w:val="00A20719"/>
    <w:rsid w:val="00A208D4"/>
    <w:rsid w:val="00A3125E"/>
    <w:rsid w:val="00A53C5E"/>
    <w:rsid w:val="00A61F80"/>
    <w:rsid w:val="00A62236"/>
    <w:rsid w:val="00A76C46"/>
    <w:rsid w:val="00A8362A"/>
    <w:rsid w:val="00A879AB"/>
    <w:rsid w:val="00A92F8B"/>
    <w:rsid w:val="00A97F18"/>
    <w:rsid w:val="00AB2F06"/>
    <w:rsid w:val="00AC230C"/>
    <w:rsid w:val="00AC4532"/>
    <w:rsid w:val="00AD6787"/>
    <w:rsid w:val="00AE568A"/>
    <w:rsid w:val="00AE61E1"/>
    <w:rsid w:val="00AF009C"/>
    <w:rsid w:val="00B16ABE"/>
    <w:rsid w:val="00B30CFF"/>
    <w:rsid w:val="00B42CDD"/>
    <w:rsid w:val="00B579E8"/>
    <w:rsid w:val="00B62E59"/>
    <w:rsid w:val="00B670DB"/>
    <w:rsid w:val="00B71529"/>
    <w:rsid w:val="00B72531"/>
    <w:rsid w:val="00B871D9"/>
    <w:rsid w:val="00BA1E74"/>
    <w:rsid w:val="00BA1FBD"/>
    <w:rsid w:val="00BA5C0C"/>
    <w:rsid w:val="00BB1902"/>
    <w:rsid w:val="00BD12AA"/>
    <w:rsid w:val="00C1095B"/>
    <w:rsid w:val="00C14552"/>
    <w:rsid w:val="00C3275E"/>
    <w:rsid w:val="00C51458"/>
    <w:rsid w:val="00C51A41"/>
    <w:rsid w:val="00C6283A"/>
    <w:rsid w:val="00C64DED"/>
    <w:rsid w:val="00C66012"/>
    <w:rsid w:val="00C75433"/>
    <w:rsid w:val="00C84685"/>
    <w:rsid w:val="00C917DC"/>
    <w:rsid w:val="00C9360F"/>
    <w:rsid w:val="00C97221"/>
    <w:rsid w:val="00CC3F54"/>
    <w:rsid w:val="00CC4EF7"/>
    <w:rsid w:val="00CD1599"/>
    <w:rsid w:val="00CF10BF"/>
    <w:rsid w:val="00D02FC5"/>
    <w:rsid w:val="00D102F1"/>
    <w:rsid w:val="00D3672C"/>
    <w:rsid w:val="00D44CE8"/>
    <w:rsid w:val="00D466ED"/>
    <w:rsid w:val="00D47F26"/>
    <w:rsid w:val="00D610B8"/>
    <w:rsid w:val="00D6178C"/>
    <w:rsid w:val="00D84BEA"/>
    <w:rsid w:val="00DA6662"/>
    <w:rsid w:val="00DC7155"/>
    <w:rsid w:val="00DE3F6A"/>
    <w:rsid w:val="00DE780E"/>
    <w:rsid w:val="00DF5A8E"/>
    <w:rsid w:val="00E12614"/>
    <w:rsid w:val="00E304F3"/>
    <w:rsid w:val="00E65082"/>
    <w:rsid w:val="00E82258"/>
    <w:rsid w:val="00E82CCE"/>
    <w:rsid w:val="00E96ECA"/>
    <w:rsid w:val="00EA6274"/>
    <w:rsid w:val="00EB0E16"/>
    <w:rsid w:val="00ED29AB"/>
    <w:rsid w:val="00EF0D67"/>
    <w:rsid w:val="00F1207B"/>
    <w:rsid w:val="00F426B0"/>
    <w:rsid w:val="00F50E2F"/>
    <w:rsid w:val="00F52C31"/>
    <w:rsid w:val="00F53E12"/>
    <w:rsid w:val="00F7608D"/>
    <w:rsid w:val="00F908DA"/>
    <w:rsid w:val="00FE54B6"/>
    <w:rsid w:val="00FF217F"/>
    <w:rsid w:val="00FF21FE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31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C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327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F21FE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565A5B"/>
  </w:style>
  <w:style w:type="paragraph" w:styleId="Header">
    <w:name w:val="header"/>
    <w:basedOn w:val="Normal"/>
    <w:link w:val="HeaderChar"/>
    <w:uiPriority w:val="99"/>
    <w:unhideWhenUsed/>
    <w:rsid w:val="00B3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F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5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7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31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C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327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F21FE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565A5B"/>
  </w:style>
  <w:style w:type="paragraph" w:styleId="Header">
    <w:name w:val="header"/>
    <w:basedOn w:val="Normal"/>
    <w:link w:val="HeaderChar"/>
    <w:uiPriority w:val="99"/>
    <w:unhideWhenUsed/>
    <w:rsid w:val="00B3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F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5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C445-11A3-4FFF-ACC7-5DBA199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Michigan College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2014-04-02T16:25:00Z</cp:lastPrinted>
  <dcterms:created xsi:type="dcterms:W3CDTF">2014-04-02T17:35:00Z</dcterms:created>
  <dcterms:modified xsi:type="dcterms:W3CDTF">2014-04-02T17:35:00Z</dcterms:modified>
</cp:coreProperties>
</file>